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952" w:rsidRDefault="00AA4952" w:rsidP="004638DE">
      <w:pPr>
        <w:pStyle w:val="Author"/>
        <w:jc w:val="both"/>
        <w:rPr>
          <w:noProof/>
          <w:kern w:val="28"/>
          <w:sz w:val="40"/>
        </w:rPr>
      </w:pPr>
    </w:p>
    <w:p w:rsidR="00BF1142" w:rsidRPr="00BF1142" w:rsidRDefault="00BF1142" w:rsidP="00A9498E">
      <w:pPr>
        <w:pStyle w:val="Author"/>
        <w:rPr>
          <w:noProof/>
          <w:kern w:val="28"/>
          <w:sz w:val="40"/>
        </w:rPr>
      </w:pPr>
      <w:r w:rsidRPr="00BF1142">
        <w:rPr>
          <w:noProof/>
          <w:kern w:val="28"/>
          <w:sz w:val="40"/>
        </w:rPr>
        <w:t>Instructions for the preparation</w:t>
      </w:r>
    </w:p>
    <w:p w:rsidR="00BF1142" w:rsidRDefault="00BF1142" w:rsidP="00A9498E">
      <w:pPr>
        <w:pStyle w:val="Author"/>
        <w:rPr>
          <w:noProof/>
          <w:kern w:val="28"/>
          <w:sz w:val="40"/>
        </w:rPr>
      </w:pPr>
      <w:r w:rsidRPr="00BF1142">
        <w:rPr>
          <w:noProof/>
          <w:kern w:val="28"/>
          <w:sz w:val="40"/>
        </w:rPr>
        <w:t>of CC&amp;SW manuscripts</w:t>
      </w:r>
      <w:r w:rsidR="008C23D3">
        <w:rPr>
          <w:noProof/>
          <w:kern w:val="28"/>
          <w:sz w:val="40"/>
        </w:rPr>
        <w:t xml:space="preserve"> with Word</w:t>
      </w:r>
    </w:p>
    <w:p w:rsidR="00BF1142" w:rsidRDefault="00BF1142" w:rsidP="00A9498E">
      <w:pPr>
        <w:pStyle w:val="Author"/>
        <w:rPr>
          <w:noProof/>
          <w:kern w:val="28"/>
          <w:sz w:val="40"/>
        </w:rPr>
      </w:pPr>
    </w:p>
    <w:p w:rsidR="00B05D6E" w:rsidRDefault="00B05D6E" w:rsidP="00A9498E">
      <w:pPr>
        <w:pStyle w:val="Author"/>
      </w:pPr>
      <w:r>
        <w:t>First AUTHOR</w:t>
      </w:r>
      <w:r>
        <w:rPr>
          <w:vertAlign w:val="superscript"/>
        </w:rPr>
        <w:t>a,</w:t>
      </w:r>
      <w:r>
        <w:rPr>
          <w:rStyle w:val="FootnoteReference"/>
        </w:rPr>
        <w:footnoteReference w:id="1"/>
      </w:r>
      <w:r>
        <w:t xml:space="preserve"> and Second AUTHOR</w:t>
      </w:r>
      <w:r>
        <w:rPr>
          <w:sz w:val="8"/>
          <w:szCs w:val="8"/>
        </w:rPr>
        <w:t xml:space="preserve"> </w:t>
      </w:r>
      <w:r>
        <w:rPr>
          <w:vertAlign w:val="superscript"/>
        </w:rPr>
        <w:t>b</w:t>
      </w:r>
      <w:r w:rsidR="00BF1142">
        <w:rPr>
          <w:vertAlign w:val="superscript"/>
        </w:rPr>
        <w:t xml:space="preserve"> </w:t>
      </w:r>
      <w:r w:rsidR="00BF1142">
        <w:t>and Third AUTHOR</w:t>
      </w:r>
      <w:r w:rsidR="00BF1142">
        <w:rPr>
          <w:sz w:val="8"/>
          <w:szCs w:val="8"/>
        </w:rPr>
        <w:t xml:space="preserve"> </w:t>
      </w:r>
      <w:r w:rsidR="00BF1142">
        <w:rPr>
          <w:vertAlign w:val="superscript"/>
        </w:rPr>
        <w:t>b</w:t>
      </w:r>
    </w:p>
    <w:p w:rsidR="00B05D6E" w:rsidRDefault="00B05D6E" w:rsidP="00A9498E">
      <w:pPr>
        <w:pStyle w:val="Affiliation"/>
      </w:pPr>
      <w:r>
        <w:rPr>
          <w:i w:val="0"/>
          <w:vertAlign w:val="superscript"/>
        </w:rPr>
        <w:t>a</w:t>
      </w:r>
      <w:r>
        <w:rPr>
          <w:sz w:val="8"/>
          <w:szCs w:val="8"/>
        </w:rPr>
        <w:t xml:space="preserve"> </w:t>
      </w:r>
      <w:r w:rsidR="00BF1142" w:rsidRPr="00BF1142">
        <w:t>Short Affiliation of First Author</w:t>
      </w:r>
    </w:p>
    <w:p w:rsidR="00B05D6E" w:rsidRDefault="00B05D6E" w:rsidP="00A9498E">
      <w:pPr>
        <w:pStyle w:val="Affiliation"/>
      </w:pPr>
      <w:r>
        <w:rPr>
          <w:i w:val="0"/>
          <w:vertAlign w:val="superscript"/>
        </w:rPr>
        <w:t>b</w:t>
      </w:r>
      <w:r>
        <w:rPr>
          <w:sz w:val="8"/>
          <w:szCs w:val="8"/>
        </w:rPr>
        <w:t xml:space="preserve"> </w:t>
      </w:r>
      <w:r w:rsidR="00BF1142" w:rsidRPr="00BF1142">
        <w:t xml:space="preserve">Short Affiliation of </w:t>
      </w:r>
      <w:r w:rsidR="00BF1142">
        <w:t xml:space="preserve">Second and Third </w:t>
      </w:r>
      <w:r w:rsidR="00BF1142" w:rsidRPr="00BF1142">
        <w:t xml:space="preserve"> Author</w:t>
      </w:r>
    </w:p>
    <w:p w:rsidR="005C4846" w:rsidRPr="005B34CE" w:rsidRDefault="005C4846" w:rsidP="00A9498E">
      <w:pPr>
        <w:pStyle w:val="ORCiDID"/>
      </w:pPr>
      <w:r w:rsidRPr="005B34CE">
        <w:t xml:space="preserve">ORCiD ID: </w:t>
      </w:r>
      <w:r w:rsidR="00966556">
        <w:t>First AUTHOR</w:t>
      </w:r>
      <w:r w:rsidRPr="005B34CE">
        <w:t xml:space="preserve"> </w:t>
      </w:r>
      <w:hyperlink r:id="rId8" w:history="1">
        <w:r w:rsidRPr="00966556">
          <w:t>https://orcid.org/....-....-....-....</w:t>
        </w:r>
      </w:hyperlink>
      <w:r w:rsidR="00966556" w:rsidRPr="00966556">
        <w:t xml:space="preserve"> </w:t>
      </w:r>
      <w:r w:rsidR="00966556">
        <w:t>Second</w:t>
      </w:r>
      <w:r w:rsidR="00966556" w:rsidRPr="00966556">
        <w:t xml:space="preserve"> AUTHOR https://orcid.org/....-....-....-....,  </w:t>
      </w:r>
      <w:r w:rsidR="00966556">
        <w:t>Third</w:t>
      </w:r>
      <w:r w:rsidR="00966556" w:rsidRPr="00966556">
        <w:t xml:space="preserve"> AUTHOR https://orcid.org/....-....-....-....,</w:t>
      </w:r>
    </w:p>
    <w:p w:rsidR="00B05D6E" w:rsidRPr="00966556" w:rsidRDefault="00B05D6E" w:rsidP="004638DE">
      <w:pPr>
        <w:pStyle w:val="Abstract"/>
        <w:rPr>
          <w:sz w:val="20"/>
          <w:szCs w:val="20"/>
        </w:rPr>
      </w:pPr>
      <w:r w:rsidRPr="00966556">
        <w:rPr>
          <w:b/>
          <w:sz w:val="20"/>
          <w:szCs w:val="20"/>
        </w:rPr>
        <w:t>Abstract</w:t>
      </w:r>
      <w:r w:rsidRPr="00966556">
        <w:rPr>
          <w:sz w:val="20"/>
          <w:szCs w:val="20"/>
        </w:rPr>
        <w:t xml:space="preserve">. </w:t>
      </w:r>
      <w:r w:rsidR="00BF1142" w:rsidRPr="00966556">
        <w:rPr>
          <w:sz w:val="20"/>
          <w:szCs w:val="20"/>
        </w:rPr>
        <w:t xml:space="preserve">These instructions are designed for the </w:t>
      </w:r>
      <w:r w:rsidR="008C23D3">
        <w:rPr>
          <w:sz w:val="20"/>
          <w:szCs w:val="20"/>
        </w:rPr>
        <w:t>preparation of CC&amp;SW camera-ready m</w:t>
      </w:r>
      <w:r w:rsidR="00BF1142" w:rsidRPr="00966556">
        <w:rPr>
          <w:sz w:val="20"/>
          <w:szCs w:val="20"/>
        </w:rPr>
        <w:t>anuscript</w:t>
      </w:r>
      <w:r w:rsidR="008C23D3">
        <w:rPr>
          <w:sz w:val="20"/>
          <w:szCs w:val="20"/>
        </w:rPr>
        <w:t>s</w:t>
      </w:r>
      <w:r w:rsidR="00BF1142" w:rsidRPr="00966556">
        <w:rPr>
          <w:sz w:val="20"/>
          <w:szCs w:val="20"/>
        </w:rPr>
        <w:t xml:space="preserve"> and should be read carefully</w:t>
      </w:r>
      <w:r w:rsidRPr="00966556">
        <w:rPr>
          <w:sz w:val="20"/>
          <w:szCs w:val="20"/>
        </w:rPr>
        <w:t>.</w:t>
      </w:r>
    </w:p>
    <w:p w:rsidR="00B05D6E" w:rsidRPr="00966556" w:rsidRDefault="00B05D6E" w:rsidP="004638DE">
      <w:pPr>
        <w:pStyle w:val="Keywords"/>
        <w:rPr>
          <w:sz w:val="20"/>
          <w:szCs w:val="20"/>
        </w:rPr>
      </w:pPr>
      <w:r w:rsidRPr="00966556">
        <w:rPr>
          <w:b/>
          <w:sz w:val="20"/>
          <w:szCs w:val="20"/>
        </w:rPr>
        <w:t>Keywords</w:t>
      </w:r>
      <w:r w:rsidRPr="00966556">
        <w:rPr>
          <w:sz w:val="20"/>
          <w:szCs w:val="20"/>
        </w:rPr>
        <w:t xml:space="preserve">. </w:t>
      </w:r>
      <w:r w:rsidR="00BF1142" w:rsidRPr="00966556">
        <w:rPr>
          <w:sz w:val="20"/>
          <w:szCs w:val="20"/>
        </w:rPr>
        <w:t>CC</w:t>
      </w:r>
      <w:r w:rsidR="008C23D3">
        <w:rPr>
          <w:sz w:val="20"/>
          <w:szCs w:val="20"/>
        </w:rPr>
        <w:t>&amp;</w:t>
      </w:r>
      <w:r w:rsidR="00BF1142" w:rsidRPr="00966556">
        <w:rPr>
          <w:sz w:val="20"/>
          <w:szCs w:val="20"/>
        </w:rPr>
        <w:t>SW</w:t>
      </w:r>
      <w:r w:rsidR="00652640">
        <w:rPr>
          <w:sz w:val="20"/>
          <w:szCs w:val="20"/>
        </w:rPr>
        <w:t xml:space="preserve"> paper template</w:t>
      </w:r>
      <w:r w:rsidR="00BF1142" w:rsidRPr="00966556">
        <w:rPr>
          <w:sz w:val="20"/>
          <w:szCs w:val="20"/>
        </w:rPr>
        <w:t>, STO-CMRE, conference proceedings</w:t>
      </w:r>
    </w:p>
    <w:p w:rsidR="00B05D6E" w:rsidRPr="009D4774" w:rsidRDefault="00B05D6E" w:rsidP="004638DE">
      <w:pPr>
        <w:pStyle w:val="Heading1"/>
        <w:jc w:val="both"/>
        <w:rPr>
          <w:lang w:eastAsia="en-US"/>
        </w:rPr>
      </w:pPr>
      <w:r w:rsidRPr="009D4774">
        <w:rPr>
          <w:lang w:eastAsia="en-US"/>
        </w:rPr>
        <w:t>Introduction</w:t>
      </w:r>
    </w:p>
    <w:p w:rsidR="00BF1142" w:rsidRPr="00966556" w:rsidRDefault="00BF1142" w:rsidP="004638DE">
      <w:pPr>
        <w:pStyle w:val="NoindentNormal"/>
        <w:rPr>
          <w:szCs w:val="20"/>
        </w:rPr>
      </w:pPr>
      <w:r w:rsidRPr="00966556">
        <w:rPr>
          <w:szCs w:val="20"/>
        </w:rPr>
        <w:t xml:space="preserve">This document provides </w:t>
      </w:r>
      <w:r w:rsidR="00A9498E">
        <w:rPr>
          <w:szCs w:val="20"/>
        </w:rPr>
        <w:t xml:space="preserve">Word </w:t>
      </w:r>
      <w:r w:rsidRPr="00966556">
        <w:rPr>
          <w:szCs w:val="20"/>
        </w:rPr>
        <w:t xml:space="preserve">instructions for style and layout of CC&amp;SW manuscripts. </w:t>
      </w:r>
    </w:p>
    <w:p w:rsidR="00BF1142" w:rsidRPr="00966556" w:rsidRDefault="00BF1142" w:rsidP="004638DE">
      <w:pPr>
        <w:pStyle w:val="NoindentNormal"/>
        <w:rPr>
          <w:szCs w:val="20"/>
        </w:rPr>
      </w:pPr>
      <w:r w:rsidRPr="00966556">
        <w:rPr>
          <w:szCs w:val="20"/>
        </w:rPr>
        <w:t>The manuscript will be almost identical to the final, published version that will appear in the proceedings, except for the pagination and the insertion of running headlines.</w:t>
      </w:r>
    </w:p>
    <w:p w:rsidR="00BF1142" w:rsidRPr="00966556" w:rsidRDefault="00241C34" w:rsidP="004638DE">
      <w:pPr>
        <w:ind w:firstLine="0"/>
        <w:rPr>
          <w:szCs w:val="20"/>
        </w:rPr>
      </w:pPr>
      <w:r>
        <w:rPr>
          <w:szCs w:val="20"/>
        </w:rPr>
        <w:t>Proofreading as regard to</w:t>
      </w:r>
      <w:r w:rsidR="00BF1142" w:rsidRPr="00966556">
        <w:rPr>
          <w:szCs w:val="20"/>
        </w:rPr>
        <w:t xml:space="preserve"> technical content and English usage is the responsibility of the</w:t>
      </w:r>
      <w:r w:rsidR="00F65CE8">
        <w:rPr>
          <w:szCs w:val="20"/>
        </w:rPr>
        <w:t xml:space="preserve"> </w:t>
      </w:r>
      <w:r w:rsidR="00BF1142" w:rsidRPr="00966556">
        <w:rPr>
          <w:szCs w:val="20"/>
        </w:rPr>
        <w:t>authors.</w:t>
      </w:r>
    </w:p>
    <w:p w:rsidR="00B05D6E" w:rsidRDefault="00BF1142" w:rsidP="004638DE">
      <w:pPr>
        <w:pStyle w:val="Heading1"/>
        <w:jc w:val="both"/>
        <w:rPr>
          <w:szCs w:val="20"/>
          <w:lang w:eastAsia="en-US"/>
        </w:rPr>
      </w:pPr>
      <w:r w:rsidRPr="00BF1142">
        <w:rPr>
          <w:lang w:eastAsia="en-US"/>
        </w:rPr>
        <w:t>Typographical Style and Layout</w:t>
      </w:r>
    </w:p>
    <w:p w:rsidR="00B05D6E" w:rsidRDefault="00BF1142" w:rsidP="004638DE">
      <w:pPr>
        <w:pStyle w:val="Heading2"/>
        <w:jc w:val="both"/>
        <w:rPr>
          <w:lang w:eastAsia="en-US"/>
        </w:rPr>
      </w:pPr>
      <w:r>
        <w:rPr>
          <w:lang w:eastAsia="en-US"/>
        </w:rPr>
        <w:t xml:space="preserve">Type Area </w:t>
      </w:r>
    </w:p>
    <w:p w:rsidR="00BF1142" w:rsidRDefault="00BF1142" w:rsidP="004638DE">
      <w:pPr>
        <w:pStyle w:val="NoindentNormal"/>
        <w:rPr>
          <w:lang w:eastAsia="en-US"/>
        </w:rPr>
      </w:pPr>
      <w:r>
        <w:rPr>
          <w:lang w:eastAsia="en-US"/>
        </w:rPr>
        <w:t>Please do not modify the layout or formatting of the ma</w:t>
      </w:r>
      <w:r w:rsidR="00F65CE8">
        <w:rPr>
          <w:lang w:eastAsia="en-US"/>
        </w:rPr>
        <w:t xml:space="preserve">nuscript (i.e. change of typing </w:t>
      </w:r>
      <w:r>
        <w:rPr>
          <w:lang w:eastAsia="en-US"/>
        </w:rPr>
        <w:t>areas, margins, etc.).</w:t>
      </w:r>
    </w:p>
    <w:p w:rsidR="00BF1142" w:rsidRDefault="00BF1142" w:rsidP="004638DE">
      <w:pPr>
        <w:pStyle w:val="NoindentNormal"/>
        <w:rPr>
          <w:lang w:eastAsia="en-US"/>
        </w:rPr>
      </w:pPr>
      <w:r>
        <w:rPr>
          <w:lang w:eastAsia="en-US"/>
        </w:rPr>
        <w:t>Check that all the text and illustrations are inside the type area and that the type area is used to the maximum. You may of course end a page with one or more blank lines to avoid ‘widow’ headings, or at the end of a manuscript.</w:t>
      </w:r>
    </w:p>
    <w:p w:rsidR="00BF1142" w:rsidRDefault="00BF1142" w:rsidP="004638DE">
      <w:pPr>
        <w:pStyle w:val="Heading2"/>
        <w:jc w:val="both"/>
        <w:rPr>
          <w:lang w:eastAsia="en-US"/>
        </w:rPr>
      </w:pPr>
      <w:r>
        <w:rPr>
          <w:lang w:eastAsia="en-US"/>
        </w:rPr>
        <w:t xml:space="preserve"> </w:t>
      </w:r>
      <w:r w:rsidRPr="00BF1142">
        <w:rPr>
          <w:lang w:eastAsia="en-US"/>
        </w:rPr>
        <w:t>Page Numbers and Running Headlines</w:t>
      </w:r>
    </w:p>
    <w:p w:rsidR="004C1739" w:rsidRDefault="004C1739" w:rsidP="004638DE">
      <w:pPr>
        <w:pStyle w:val="NoindentNormal"/>
        <w:rPr>
          <w:lang w:eastAsia="en-US"/>
        </w:rPr>
      </w:pPr>
      <w:r>
        <w:rPr>
          <w:lang w:eastAsia="en-US"/>
        </w:rPr>
        <w:t>You do not need to include page numbers or running headlines. These elements will be</w:t>
      </w:r>
    </w:p>
    <w:p w:rsidR="00BF1142" w:rsidRDefault="004C1739" w:rsidP="004638DE">
      <w:pPr>
        <w:pStyle w:val="NoindentNormal"/>
        <w:rPr>
          <w:lang w:eastAsia="en-US"/>
        </w:rPr>
      </w:pPr>
      <w:r>
        <w:rPr>
          <w:lang w:eastAsia="en-US"/>
        </w:rPr>
        <w:t>added by the publisher.</w:t>
      </w:r>
    </w:p>
    <w:p w:rsidR="004C1739" w:rsidRDefault="004C1739" w:rsidP="004638DE">
      <w:pPr>
        <w:pStyle w:val="NoindentNormal"/>
        <w:rPr>
          <w:lang w:eastAsia="en-US"/>
        </w:rPr>
      </w:pPr>
    </w:p>
    <w:p w:rsidR="004C1739" w:rsidRDefault="004C1739" w:rsidP="004638DE">
      <w:pPr>
        <w:pStyle w:val="Heading2"/>
        <w:jc w:val="both"/>
        <w:rPr>
          <w:lang w:eastAsia="en-US"/>
        </w:rPr>
      </w:pPr>
      <w:r>
        <w:rPr>
          <w:lang w:eastAsia="en-US"/>
        </w:rPr>
        <w:t>Font</w:t>
      </w:r>
    </w:p>
    <w:p w:rsidR="0093039E" w:rsidRPr="0093039E" w:rsidRDefault="004C1739" w:rsidP="004638DE">
      <w:pPr>
        <w:pStyle w:val="NoindentNormal"/>
        <w:rPr>
          <w:lang w:eastAsia="en-US"/>
        </w:rPr>
      </w:pPr>
      <w:r>
        <w:rPr>
          <w:lang w:eastAsia="en-US"/>
        </w:rPr>
        <w:t xml:space="preserve">The font type for running text (body text) is 10 point Times New Roman. There is no need to code normal type (roman text). For literal text, please use </w:t>
      </w:r>
      <w:r w:rsidRPr="0093039E">
        <w:rPr>
          <w:rFonts w:ascii="Courier New" w:hAnsi="Courier New" w:cs="Courier New"/>
          <w:lang w:eastAsia="en-US"/>
        </w:rPr>
        <w:t>typewriter</w:t>
      </w:r>
      <w:r w:rsidR="00EE559E">
        <w:rPr>
          <w:lang w:eastAsia="en-US"/>
        </w:rPr>
        <w:t xml:space="preserve"> </w:t>
      </w:r>
      <w:r>
        <w:rPr>
          <w:lang w:eastAsia="en-US"/>
        </w:rPr>
        <w:t xml:space="preserve">or </w:t>
      </w:r>
      <w:r w:rsidRPr="0093039E">
        <w:rPr>
          <w:rFonts w:ascii="Tahoma" w:hAnsi="Tahoma" w:cs="Tahoma"/>
          <w:lang w:eastAsia="en-US"/>
        </w:rPr>
        <w:t>sans serif</w:t>
      </w:r>
      <w:r>
        <w:rPr>
          <w:lang w:eastAsia="en-US"/>
        </w:rPr>
        <w:t xml:space="preserve">. </w:t>
      </w:r>
      <w:r w:rsidRPr="0093039E">
        <w:rPr>
          <w:i/>
          <w:lang w:eastAsia="en-US"/>
        </w:rPr>
        <w:t>Italic</w:t>
      </w:r>
      <w:r>
        <w:rPr>
          <w:lang w:eastAsia="en-US"/>
        </w:rPr>
        <w:t xml:space="preserve"> or </w:t>
      </w:r>
      <w:r w:rsidRPr="0093039E">
        <w:rPr>
          <w:b/>
          <w:lang w:eastAsia="en-US"/>
        </w:rPr>
        <w:t>boldface</w:t>
      </w:r>
      <w:r w:rsidR="0093039E">
        <w:rPr>
          <w:b/>
          <w:lang w:eastAsia="en-US"/>
        </w:rPr>
        <w:t xml:space="preserve"> </w:t>
      </w:r>
      <w:r>
        <w:rPr>
          <w:lang w:eastAsia="en-US"/>
        </w:rPr>
        <w:t>should be used for emphasis.</w:t>
      </w:r>
    </w:p>
    <w:p w:rsidR="00E14EB4" w:rsidRDefault="00E14EB4" w:rsidP="004638DE">
      <w:pPr>
        <w:pStyle w:val="Heading2"/>
        <w:jc w:val="both"/>
        <w:rPr>
          <w:lang w:eastAsia="en-US"/>
        </w:rPr>
      </w:pPr>
      <w:r w:rsidRPr="00E14EB4">
        <w:rPr>
          <w:lang w:eastAsia="en-US"/>
        </w:rPr>
        <w:lastRenderedPageBreak/>
        <w:t>General Layout</w:t>
      </w:r>
    </w:p>
    <w:p w:rsidR="00E14EB4" w:rsidRDefault="00E14EB4" w:rsidP="004638DE">
      <w:pPr>
        <w:pStyle w:val="NoindentNormal"/>
        <w:rPr>
          <w:lang w:eastAsia="en-US"/>
        </w:rPr>
      </w:pPr>
      <w:r>
        <w:rPr>
          <w:lang w:eastAsia="en-US"/>
        </w:rPr>
        <w:t>Use single (1.0) line spacing throughout the document.</w:t>
      </w:r>
    </w:p>
    <w:p w:rsidR="00AE25BE" w:rsidRDefault="00AE59D7" w:rsidP="004638DE">
      <w:pPr>
        <w:pStyle w:val="Heading2"/>
        <w:jc w:val="both"/>
        <w:rPr>
          <w:lang w:eastAsia="en-US"/>
        </w:rPr>
      </w:pPr>
      <w:r w:rsidRPr="00543085">
        <w:rPr>
          <w:lang w:eastAsia="en-US"/>
        </w:rPr>
        <w:t xml:space="preserve"> </w:t>
      </w:r>
      <w:r w:rsidR="00543085" w:rsidRPr="00543085">
        <w:rPr>
          <w:lang w:eastAsia="en-US"/>
        </w:rPr>
        <w:t>(Sub-)Section Headings</w:t>
      </w:r>
    </w:p>
    <w:p w:rsidR="00543085" w:rsidRDefault="00543085" w:rsidP="004638DE">
      <w:pPr>
        <w:pStyle w:val="NoindentNormal"/>
        <w:rPr>
          <w:lang w:eastAsia="en-US"/>
        </w:rPr>
      </w:pPr>
      <w:r>
        <w:rPr>
          <w:lang w:eastAsia="en-US"/>
        </w:rPr>
        <w:t>Use initial capitals in the headings, except for articles (a, an, the), coordinate conjunctions (and, or, nor), and prepositions, unless they appear at the beginning of the heading.</w:t>
      </w:r>
      <w:r w:rsidR="00AE59D7">
        <w:rPr>
          <w:lang w:eastAsia="en-US"/>
        </w:rPr>
        <w:t xml:space="preserve"> </w:t>
      </w:r>
      <w:r>
        <w:rPr>
          <w:lang w:eastAsia="en-US"/>
        </w:rPr>
        <w:t>Headings will be automatically numbered.</w:t>
      </w:r>
    </w:p>
    <w:p w:rsidR="00B630FF" w:rsidRDefault="00B630FF" w:rsidP="004638DE">
      <w:pPr>
        <w:pStyle w:val="Heading2"/>
        <w:jc w:val="both"/>
        <w:rPr>
          <w:lang w:eastAsia="en-US"/>
        </w:rPr>
      </w:pPr>
      <w:r w:rsidRPr="00B630FF">
        <w:rPr>
          <w:lang w:eastAsia="en-US"/>
        </w:rPr>
        <w:t>Footnotes and Endnotes</w:t>
      </w:r>
    </w:p>
    <w:p w:rsidR="00B630FF" w:rsidRDefault="00B630FF" w:rsidP="004638DE">
      <w:pPr>
        <w:pStyle w:val="NoindentNormal"/>
        <w:rPr>
          <w:lang w:eastAsia="en-US"/>
        </w:rPr>
      </w:pPr>
      <w:r>
        <w:rPr>
          <w:lang w:eastAsia="en-US"/>
        </w:rPr>
        <w:t>Please keep footnotes to a minimum. If they take up more space than roughly 10% of the</w:t>
      </w:r>
      <w:r w:rsidR="00F97484">
        <w:rPr>
          <w:lang w:eastAsia="en-US"/>
        </w:rPr>
        <w:t xml:space="preserve"> </w:t>
      </w:r>
      <w:r>
        <w:rPr>
          <w:lang w:eastAsia="en-US"/>
        </w:rPr>
        <w:t>type area, list them as endnotes, before the bibliography. Footnotes and endnotes should</w:t>
      </w:r>
      <w:r w:rsidR="00F97484">
        <w:rPr>
          <w:lang w:eastAsia="en-US"/>
        </w:rPr>
        <w:t xml:space="preserve"> </w:t>
      </w:r>
      <w:r>
        <w:rPr>
          <w:lang w:eastAsia="en-US"/>
        </w:rPr>
        <w:t>both be numbered in arabic numerals and, in the case of endnotes, preceded by the heading “Endnotes”.</w:t>
      </w:r>
    </w:p>
    <w:p w:rsidR="00B630FF" w:rsidRPr="004C1739" w:rsidRDefault="00E97057" w:rsidP="004638DE">
      <w:pPr>
        <w:pStyle w:val="Heading2"/>
        <w:jc w:val="both"/>
        <w:rPr>
          <w:lang w:eastAsia="en-US"/>
        </w:rPr>
      </w:pPr>
      <w:r>
        <w:rPr>
          <w:lang w:eastAsia="en-US"/>
        </w:rPr>
        <w:t xml:space="preserve">Lists </w:t>
      </w:r>
    </w:p>
    <w:p w:rsidR="00B05D6E" w:rsidRDefault="004C1739" w:rsidP="004638DE">
      <w:pPr>
        <w:pStyle w:val="Heading3"/>
        <w:jc w:val="both"/>
      </w:pPr>
      <w:r>
        <w:t xml:space="preserve">Item </w:t>
      </w:r>
      <w:r w:rsidR="00902F8C">
        <w:t>List E</w:t>
      </w:r>
      <w:r>
        <w:t>xample</w:t>
      </w:r>
    </w:p>
    <w:p w:rsidR="00B05D6E" w:rsidRDefault="00B05D6E" w:rsidP="004638DE">
      <w:pPr>
        <w:pStyle w:val="Listbul"/>
        <w:tabs>
          <w:tab w:val="clear" w:pos="717"/>
          <w:tab w:val="num" w:pos="426"/>
        </w:tabs>
        <w:spacing w:before="120"/>
        <w:ind w:left="737" w:hanging="737"/>
      </w:pPr>
      <w:r>
        <w:t>Item</w:t>
      </w:r>
    </w:p>
    <w:p w:rsidR="00B05D6E" w:rsidRDefault="00B05D6E" w:rsidP="004638DE">
      <w:pPr>
        <w:pStyle w:val="Listbul"/>
        <w:tabs>
          <w:tab w:val="clear" w:pos="717"/>
          <w:tab w:val="num" w:pos="426"/>
        </w:tabs>
        <w:ind w:left="737" w:hanging="737"/>
      </w:pPr>
      <w:r>
        <w:t>Item</w:t>
      </w:r>
    </w:p>
    <w:p w:rsidR="00B05D6E" w:rsidRDefault="00B05D6E" w:rsidP="004638DE">
      <w:pPr>
        <w:pStyle w:val="Listbul"/>
        <w:tabs>
          <w:tab w:val="clear" w:pos="717"/>
          <w:tab w:val="num" w:pos="426"/>
        </w:tabs>
        <w:spacing w:after="120"/>
        <w:ind w:left="737" w:hanging="737"/>
      </w:pPr>
      <w:r>
        <w:t>Item</w:t>
      </w:r>
    </w:p>
    <w:p w:rsidR="00E97057" w:rsidRDefault="00E97057" w:rsidP="004638DE">
      <w:pPr>
        <w:pStyle w:val="Heading3"/>
        <w:jc w:val="both"/>
      </w:pPr>
      <w:r>
        <w:t>Numbered</w:t>
      </w:r>
      <w:r w:rsidR="00902F8C">
        <w:t xml:space="preserve"> List E</w:t>
      </w:r>
      <w:r>
        <w:t>xample</w:t>
      </w:r>
    </w:p>
    <w:p w:rsidR="00E97057" w:rsidRDefault="00E97057" w:rsidP="004638DE">
      <w:pPr>
        <w:pStyle w:val="Listbul"/>
        <w:numPr>
          <w:ilvl w:val="0"/>
          <w:numId w:val="13"/>
        </w:numPr>
        <w:tabs>
          <w:tab w:val="clear" w:pos="717"/>
          <w:tab w:val="num" w:pos="426"/>
        </w:tabs>
        <w:spacing w:before="120"/>
        <w:ind w:hanging="717"/>
      </w:pPr>
      <w:r>
        <w:t>Item</w:t>
      </w:r>
    </w:p>
    <w:p w:rsidR="00E97057" w:rsidRDefault="00E97057" w:rsidP="004638DE">
      <w:pPr>
        <w:pStyle w:val="Listbul"/>
        <w:numPr>
          <w:ilvl w:val="0"/>
          <w:numId w:val="13"/>
        </w:numPr>
        <w:tabs>
          <w:tab w:val="clear" w:pos="717"/>
          <w:tab w:val="num" w:pos="426"/>
        </w:tabs>
        <w:ind w:hanging="717"/>
      </w:pPr>
      <w:r>
        <w:t>Item</w:t>
      </w:r>
    </w:p>
    <w:p w:rsidR="00E97057" w:rsidRDefault="00E97057" w:rsidP="004638DE">
      <w:pPr>
        <w:pStyle w:val="Listbul"/>
        <w:numPr>
          <w:ilvl w:val="0"/>
          <w:numId w:val="13"/>
        </w:numPr>
        <w:tabs>
          <w:tab w:val="clear" w:pos="717"/>
          <w:tab w:val="num" w:pos="426"/>
        </w:tabs>
        <w:spacing w:after="120"/>
        <w:ind w:hanging="717"/>
      </w:pPr>
      <w:r>
        <w:t>Item</w:t>
      </w:r>
    </w:p>
    <w:p w:rsidR="00B07094" w:rsidRDefault="00B07094" w:rsidP="004638DE">
      <w:pPr>
        <w:pStyle w:val="Heading1"/>
        <w:jc w:val="both"/>
        <w:rPr>
          <w:szCs w:val="20"/>
          <w:lang w:eastAsia="en-US"/>
        </w:rPr>
      </w:pPr>
      <w:r w:rsidRPr="00B07094">
        <w:rPr>
          <w:lang w:eastAsia="en-US"/>
        </w:rPr>
        <w:t>Citations and Bibliography</w:t>
      </w:r>
    </w:p>
    <w:p w:rsidR="00B07094" w:rsidRDefault="00B07094" w:rsidP="004638DE">
      <w:pPr>
        <w:pStyle w:val="NoindentNormal"/>
        <w:rPr>
          <w:lang w:eastAsia="en-US"/>
        </w:rPr>
      </w:pPr>
      <w:r>
        <w:rPr>
          <w:lang w:eastAsia="en-US"/>
        </w:rPr>
        <w:t>Authors’ names should be complete—use full first names (“Donald E. Knuth”) not initials (“D. E. Knuth”) —and the salient identifying features of a reference should be included: title, year, volume, number, pages, article DOI, etc. See the enclosed bibliography, where the examples below are reported.</w:t>
      </w:r>
    </w:p>
    <w:p w:rsidR="00B07094" w:rsidRDefault="00B07094" w:rsidP="004638DE">
      <w:pPr>
        <w:pStyle w:val="Heading2"/>
        <w:jc w:val="both"/>
        <w:rPr>
          <w:lang w:eastAsia="en-US"/>
        </w:rPr>
      </w:pPr>
      <w:r>
        <w:rPr>
          <w:lang w:eastAsia="en-US"/>
        </w:rPr>
        <w:t>Bibliography examples</w:t>
      </w:r>
    </w:p>
    <w:p w:rsidR="00946ACA" w:rsidRDefault="00946ACA" w:rsidP="004638DE">
      <w:pPr>
        <w:pStyle w:val="NoindentNormal"/>
        <w:rPr>
          <w:lang w:eastAsia="en-US"/>
        </w:rPr>
      </w:pPr>
      <w:r>
        <w:rPr>
          <w:lang w:eastAsia="en-US"/>
        </w:rPr>
        <w:t>A paginated journal article [1], an enumerated journal article [2], a reference to an entire</w:t>
      </w:r>
    </w:p>
    <w:p w:rsidR="00946ACA" w:rsidRDefault="00946ACA" w:rsidP="004638DE">
      <w:pPr>
        <w:pStyle w:val="NoindentNormal"/>
        <w:rPr>
          <w:lang w:eastAsia="en-US"/>
        </w:rPr>
      </w:pPr>
      <w:r>
        <w:rPr>
          <w:lang w:eastAsia="en-US"/>
        </w:rPr>
        <w:t>issue [3], a monograph (whole book) [4], a monograph/whole book in a series (see 2a in</w:t>
      </w:r>
    </w:p>
    <w:p w:rsidR="00946ACA" w:rsidRDefault="00946ACA" w:rsidP="004638DE">
      <w:pPr>
        <w:pStyle w:val="NoindentNormal"/>
        <w:rPr>
          <w:lang w:eastAsia="en-US"/>
        </w:rPr>
      </w:pPr>
      <w:r>
        <w:rPr>
          <w:lang w:eastAsia="en-US"/>
        </w:rPr>
        <w:t>spec. document) [5], a divisible-book such as an anthology or compilation [6], however</w:t>
      </w:r>
      <w:r w:rsidR="008725E2">
        <w:rPr>
          <w:lang w:eastAsia="en-US"/>
        </w:rPr>
        <w:t xml:space="preserve"> </w:t>
      </w:r>
      <w:r>
        <w:rPr>
          <w:lang w:eastAsia="en-US"/>
        </w:rPr>
        <w:t>we only output the series if the volume number is given (so series should not be present since it has no vol. no.), a chapter in a divisible book [7], a chapter in a divisible book in a series [8], a multi-volume work as book [9], an article in a proceedings (of a conference, symposium, workshop for example) (paginated proceedings article) [10], a proceedings article with all possible elements [11], an example of an enumerated proceedings article [12], an informally published work [13], a doctoral dissertation [14], a master’s thesis: [15], an online document / world wide web resource [16, 17, 18], a video game (Case 1) [19] and (Case 2) [20] and [21] and (Case 3) a patent [22], work accepted for publication [23], prolific author [24] and [25]. Other cites might contain ‘duplicate’ DOI and URLs (some SIAM articles) [26]. Multi-volume works as books [27]. A couple of citations with DOIs: [28, 26]. Online citations: [29, 16, 30, 31].</w:t>
      </w:r>
    </w:p>
    <w:p w:rsidR="00B07094" w:rsidRDefault="00B07094" w:rsidP="004638DE">
      <w:pPr>
        <w:pStyle w:val="Heading1"/>
        <w:jc w:val="both"/>
        <w:rPr>
          <w:szCs w:val="20"/>
          <w:lang w:eastAsia="en-US"/>
        </w:rPr>
      </w:pPr>
      <w:r w:rsidRPr="00B07094">
        <w:rPr>
          <w:lang w:eastAsia="en-US"/>
        </w:rPr>
        <w:lastRenderedPageBreak/>
        <w:t>Figures and Tables</w:t>
      </w:r>
    </w:p>
    <w:p w:rsidR="00B07094" w:rsidRDefault="00B07094" w:rsidP="004638DE">
      <w:pPr>
        <w:pStyle w:val="NoindentNormal"/>
        <w:rPr>
          <w:lang w:eastAsia="en-US"/>
        </w:rPr>
      </w:pPr>
      <w:r>
        <w:rPr>
          <w:lang w:eastAsia="en-US"/>
        </w:rPr>
        <w:t>Do not collect illustrations at the back of your article, but incorporate them in the text.</w:t>
      </w:r>
      <w:r w:rsidR="00CE6D95">
        <w:rPr>
          <w:lang w:eastAsia="en-US"/>
        </w:rPr>
        <w:t xml:space="preserve"> </w:t>
      </w:r>
      <w:r>
        <w:rPr>
          <w:lang w:eastAsia="en-US"/>
        </w:rPr>
        <w:t>Position tables and figures with at least 2 lines extra space between them and the running</w:t>
      </w:r>
      <w:r w:rsidR="005E4E0E">
        <w:rPr>
          <w:lang w:eastAsia="en-US"/>
        </w:rPr>
        <w:t xml:space="preserve"> </w:t>
      </w:r>
      <w:r>
        <w:rPr>
          <w:lang w:eastAsia="en-US"/>
        </w:rPr>
        <w:t xml:space="preserve">text. </w:t>
      </w:r>
    </w:p>
    <w:p w:rsidR="00B07094" w:rsidRDefault="00B07094" w:rsidP="004638DE">
      <w:pPr>
        <w:pStyle w:val="NoindentNormal"/>
        <w:rPr>
          <w:lang w:eastAsia="en-US"/>
        </w:rPr>
      </w:pPr>
      <w:r>
        <w:rPr>
          <w:lang w:eastAsia="en-US"/>
        </w:rPr>
        <w:t>The text should include references to all illustrations and tables. Refer to them in the text as Table 1, Table 2, Figure 1, Figure 2, etc., not with</w:t>
      </w:r>
      <w:r w:rsidR="005E4E0E">
        <w:rPr>
          <w:lang w:eastAsia="en-US"/>
        </w:rPr>
        <w:t xml:space="preserve"> the section or chapter number  </w:t>
      </w:r>
      <w:r>
        <w:rPr>
          <w:lang w:eastAsia="en-US"/>
        </w:rPr>
        <w:t>included, e.g. Table 3.2, Figure 4.3, etc. Do not use the words “below” or “above” referring to the tables, figures, etc.</w:t>
      </w:r>
    </w:p>
    <w:p w:rsidR="00B07094" w:rsidRDefault="00B07094" w:rsidP="004638DE">
      <w:pPr>
        <w:pStyle w:val="NoindentNormal"/>
        <w:rPr>
          <w:lang w:eastAsia="en-US"/>
        </w:rPr>
      </w:pPr>
      <w:r>
        <w:rPr>
          <w:lang w:eastAsia="en-US"/>
        </w:rPr>
        <w:t>Your figures should contain a caption which describes the figure to the reader. Figure captions go below the figure. Your figures should also include a description suitable for</w:t>
      </w:r>
      <w:r w:rsidR="005E4E0E">
        <w:rPr>
          <w:lang w:eastAsia="en-US"/>
        </w:rPr>
        <w:t xml:space="preserve"> </w:t>
      </w:r>
      <w:r>
        <w:rPr>
          <w:lang w:eastAsia="en-US"/>
        </w:rPr>
        <w:t>screen readers, to assist the visually-challenged to better understand your work.</w:t>
      </w:r>
    </w:p>
    <w:p w:rsidR="00B07094" w:rsidRDefault="0069736B" w:rsidP="004638DE">
      <w:pPr>
        <w:pStyle w:val="NoindentNormal"/>
        <w:rPr>
          <w:lang w:eastAsia="en-US"/>
        </w:rPr>
      </w:pPr>
      <w:r>
        <w:rPr>
          <w:lang w:eastAsia="en-US"/>
        </w:rPr>
        <w:t xml:space="preserve">If your figure contains third-party material, you must clearly identify it as such, as shown </w:t>
      </w:r>
      <w:r w:rsidR="00B61A8B">
        <w:rPr>
          <w:lang w:eastAsia="en-US"/>
        </w:rPr>
        <w:t>in the example below.</w:t>
      </w:r>
    </w:p>
    <w:p w:rsidR="00B05D6E" w:rsidRDefault="00A9498E" w:rsidP="004638DE">
      <w:pPr>
        <w:pStyle w:val="NoindentNormal"/>
        <w:spacing w:before="240"/>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85pt;height:226.75pt">
            <v:imagedata r:id="rId9" o:title="sample"/>
          </v:shape>
        </w:pict>
      </w:r>
    </w:p>
    <w:p w:rsidR="00B05D6E" w:rsidRDefault="00B05D6E" w:rsidP="004638DE">
      <w:pPr>
        <w:pStyle w:val="CaptionShort"/>
        <w:jc w:val="both"/>
      </w:pPr>
      <w:r>
        <w:rPr>
          <w:b/>
        </w:rPr>
        <w:t>Figure 1.</w:t>
      </w:r>
      <w:r>
        <w:t xml:space="preserve"> </w:t>
      </w:r>
      <w:r w:rsidR="00F25706">
        <w:t>Trend Velocities in North Atlantic The trend of the velocities (meters per second per decade) derived from NASA Pathfinder altimeter data for the period May 1992 to June 2002. The colored vectors are statistically significant. Note how the vectors trace the following graphic of the subpolar circulation in reverse direction, which denotes a slowing gyre. Credit: Sirpa Hakkinen, NASA [Public domain], via Wikimedia Commons. (</w:t>
      </w:r>
      <w:r w:rsidR="00F25706" w:rsidRPr="00F25706">
        <w:rPr>
          <w:rFonts w:ascii="Courier New" w:hAnsi="Courier New" w:cs="Courier New"/>
        </w:rPr>
        <w:t>https://commons.wikimedia.org/w/index.php?curid=8009302</w:t>
      </w:r>
      <w:r w:rsidR="00F25706">
        <w:t>).</w:t>
      </w:r>
    </w:p>
    <w:p w:rsidR="00B05D6E" w:rsidRDefault="00B05D6E" w:rsidP="004638DE">
      <w:pPr>
        <w:ind w:firstLine="0"/>
      </w:pPr>
    </w:p>
    <w:p w:rsidR="0069736B" w:rsidRPr="0069736B" w:rsidRDefault="007F689F" w:rsidP="004638DE">
      <w:pPr>
        <w:pStyle w:val="NoindentNormal"/>
        <w:rPr>
          <w:lang w:eastAsia="en-US"/>
        </w:rPr>
      </w:pPr>
      <w:r>
        <w:rPr>
          <w:lang w:eastAsia="en-US"/>
        </w:rPr>
        <w:t xml:space="preserve">Place figure captions </w:t>
      </w:r>
      <w:r w:rsidRPr="007F689F">
        <w:rPr>
          <w:i/>
          <w:lang w:eastAsia="en-US"/>
        </w:rPr>
        <w:t>below</w:t>
      </w:r>
      <w:r>
        <w:rPr>
          <w:lang w:eastAsia="en-US"/>
        </w:rPr>
        <w:t xml:space="preserve"> the figure, table captions </w:t>
      </w:r>
      <w:r w:rsidRPr="007F689F">
        <w:rPr>
          <w:i/>
          <w:lang w:eastAsia="en-US"/>
        </w:rPr>
        <w:t>above</w:t>
      </w:r>
      <w:r>
        <w:rPr>
          <w:lang w:eastAsia="en-US"/>
        </w:rPr>
        <w:t xml:space="preserve"> the table. Use bold for table/figure labels and numbers, e.g.: </w:t>
      </w:r>
      <w:r w:rsidRPr="007F689F">
        <w:rPr>
          <w:b/>
          <w:lang w:eastAsia="en-US"/>
        </w:rPr>
        <w:t>Table 1</w:t>
      </w:r>
      <w:r>
        <w:rPr>
          <w:lang w:eastAsia="en-US"/>
        </w:rPr>
        <w:t xml:space="preserve">., </w:t>
      </w:r>
      <w:r w:rsidRPr="007F689F">
        <w:rPr>
          <w:b/>
          <w:lang w:eastAsia="en-US"/>
        </w:rPr>
        <w:t>Figure 2</w:t>
      </w:r>
      <w:r>
        <w:rPr>
          <w:lang w:eastAsia="en-US"/>
        </w:rPr>
        <w:t>.</w:t>
      </w:r>
      <w:r w:rsidRPr="00E32B11">
        <w:rPr>
          <w:lang w:eastAsia="en-US"/>
        </w:rPr>
        <w:t>,</w:t>
      </w:r>
      <w:r>
        <w:rPr>
          <w:lang w:eastAsia="en-US"/>
        </w:rPr>
        <w:t xml:space="preserve"> and roman for the text of the caption. Keep table and figure captions justified. Center short figure captions only.</w:t>
      </w:r>
    </w:p>
    <w:p w:rsidR="0069736B" w:rsidRDefault="0069736B" w:rsidP="001900D0">
      <w:pPr>
        <w:pStyle w:val="CaptionLong"/>
        <w:jc w:val="center"/>
      </w:pPr>
      <w:r>
        <w:rPr>
          <w:b/>
        </w:rPr>
        <w:t>Table 1.</w:t>
      </w:r>
      <w:r w:rsidR="005E4E0E">
        <w:t xml:space="preserve">  Table example</w:t>
      </w:r>
      <w:r>
        <w:t>.</w:t>
      </w:r>
    </w:p>
    <w:tbl>
      <w:tblPr>
        <w:tblW w:w="2356" w:type="pct"/>
        <w:jc w:val="center"/>
        <w:tblLook w:val="00A0" w:firstRow="1" w:lastRow="0" w:firstColumn="1" w:lastColumn="0" w:noHBand="0" w:noVBand="0"/>
      </w:tblPr>
      <w:tblGrid>
        <w:gridCol w:w="899"/>
        <w:gridCol w:w="1459"/>
        <w:gridCol w:w="1009"/>
      </w:tblGrid>
      <w:tr w:rsidR="0069736B" w:rsidTr="00922DF4">
        <w:trPr>
          <w:jc w:val="center"/>
        </w:trPr>
        <w:tc>
          <w:tcPr>
            <w:tcW w:w="1334" w:type="pct"/>
            <w:tcBorders>
              <w:top w:val="single" w:sz="8" w:space="0" w:color="auto"/>
              <w:bottom w:val="single" w:sz="4" w:space="0" w:color="auto"/>
            </w:tcBorders>
            <w:vAlign w:val="center"/>
          </w:tcPr>
          <w:p w:rsidR="0069736B" w:rsidRPr="00D82BC9" w:rsidRDefault="004638DE" w:rsidP="004638DE">
            <w:pPr>
              <w:ind w:firstLine="0"/>
              <w:rPr>
                <w:b/>
                <w:sz w:val="16"/>
                <w:szCs w:val="16"/>
              </w:rPr>
            </w:pPr>
            <w:r>
              <w:rPr>
                <w:b/>
                <w:sz w:val="16"/>
                <w:szCs w:val="16"/>
              </w:rPr>
              <w:t>Left-t</w:t>
            </w:r>
            <w:r w:rsidR="005E4E0E">
              <w:rPr>
                <w:b/>
                <w:sz w:val="16"/>
                <w:szCs w:val="16"/>
              </w:rPr>
              <w:t>ext</w:t>
            </w:r>
          </w:p>
        </w:tc>
        <w:tc>
          <w:tcPr>
            <w:tcW w:w="2167" w:type="pct"/>
            <w:tcBorders>
              <w:top w:val="single" w:sz="8" w:space="0" w:color="auto"/>
              <w:bottom w:val="single" w:sz="4" w:space="0" w:color="auto"/>
            </w:tcBorders>
            <w:vAlign w:val="center"/>
          </w:tcPr>
          <w:p w:rsidR="0069736B" w:rsidRPr="00D82BC9" w:rsidRDefault="0069736B" w:rsidP="00697BCA">
            <w:pPr>
              <w:ind w:firstLine="0"/>
              <w:jc w:val="center"/>
              <w:rPr>
                <w:b/>
                <w:sz w:val="16"/>
                <w:szCs w:val="16"/>
              </w:rPr>
            </w:pPr>
            <w:r>
              <w:rPr>
                <w:b/>
                <w:sz w:val="16"/>
                <w:szCs w:val="16"/>
              </w:rPr>
              <w:t>Number</w:t>
            </w:r>
          </w:p>
        </w:tc>
        <w:tc>
          <w:tcPr>
            <w:tcW w:w="1499" w:type="pct"/>
            <w:tcBorders>
              <w:top w:val="single" w:sz="8" w:space="0" w:color="auto"/>
              <w:bottom w:val="single" w:sz="4" w:space="0" w:color="auto"/>
            </w:tcBorders>
            <w:vAlign w:val="center"/>
          </w:tcPr>
          <w:p w:rsidR="0069736B" w:rsidRPr="00D82BC9" w:rsidRDefault="005E4E0E" w:rsidP="00697BCA">
            <w:pPr>
              <w:ind w:firstLine="0"/>
              <w:jc w:val="right"/>
              <w:rPr>
                <w:b/>
                <w:sz w:val="16"/>
                <w:szCs w:val="16"/>
              </w:rPr>
            </w:pPr>
            <w:r>
              <w:rPr>
                <w:b/>
                <w:sz w:val="16"/>
                <w:szCs w:val="16"/>
              </w:rPr>
              <w:t>Right-</w:t>
            </w:r>
            <w:r w:rsidR="004638DE">
              <w:rPr>
                <w:b/>
                <w:sz w:val="16"/>
                <w:szCs w:val="16"/>
              </w:rPr>
              <w:t>text</w:t>
            </w:r>
          </w:p>
        </w:tc>
      </w:tr>
      <w:tr w:rsidR="0069736B" w:rsidRPr="005E4E0E" w:rsidTr="00922DF4">
        <w:trPr>
          <w:jc w:val="center"/>
        </w:trPr>
        <w:tc>
          <w:tcPr>
            <w:tcW w:w="1334" w:type="pct"/>
            <w:tcBorders>
              <w:top w:val="single" w:sz="4" w:space="0" w:color="auto"/>
            </w:tcBorders>
            <w:vAlign w:val="center"/>
          </w:tcPr>
          <w:p w:rsidR="0069736B" w:rsidRPr="005E4E0E" w:rsidRDefault="005E4E0E" w:rsidP="004638DE">
            <w:pPr>
              <w:ind w:firstLine="0"/>
              <w:rPr>
                <w:sz w:val="16"/>
                <w:szCs w:val="16"/>
              </w:rPr>
            </w:pPr>
            <w:r w:rsidRPr="005E4E0E">
              <w:rPr>
                <w:sz w:val="16"/>
                <w:szCs w:val="16"/>
              </w:rPr>
              <w:t>Text</w:t>
            </w:r>
          </w:p>
        </w:tc>
        <w:tc>
          <w:tcPr>
            <w:tcW w:w="2167" w:type="pct"/>
            <w:tcBorders>
              <w:top w:val="single" w:sz="4" w:space="0" w:color="auto"/>
            </w:tcBorders>
            <w:vAlign w:val="center"/>
          </w:tcPr>
          <w:p w:rsidR="0069736B" w:rsidRPr="005E4E0E" w:rsidRDefault="0069736B" w:rsidP="00697BCA">
            <w:pPr>
              <w:ind w:firstLine="0"/>
              <w:jc w:val="center"/>
              <w:rPr>
                <w:sz w:val="16"/>
                <w:szCs w:val="16"/>
              </w:rPr>
            </w:pPr>
            <w:r w:rsidRPr="005E4E0E">
              <w:rPr>
                <w:sz w:val="16"/>
                <w:szCs w:val="16"/>
              </w:rPr>
              <w:t>100</w:t>
            </w:r>
          </w:p>
        </w:tc>
        <w:tc>
          <w:tcPr>
            <w:tcW w:w="1499" w:type="pct"/>
            <w:tcBorders>
              <w:top w:val="single" w:sz="4" w:space="0" w:color="auto"/>
            </w:tcBorders>
            <w:vAlign w:val="center"/>
          </w:tcPr>
          <w:p w:rsidR="0069736B" w:rsidRPr="005E4E0E" w:rsidRDefault="004638DE" w:rsidP="00697BCA">
            <w:pPr>
              <w:ind w:firstLine="0"/>
              <w:jc w:val="right"/>
              <w:rPr>
                <w:sz w:val="16"/>
                <w:szCs w:val="16"/>
              </w:rPr>
            </w:pPr>
            <w:r>
              <w:rPr>
                <w:sz w:val="16"/>
                <w:szCs w:val="16"/>
              </w:rPr>
              <w:t>Text</w:t>
            </w:r>
          </w:p>
        </w:tc>
      </w:tr>
      <w:tr w:rsidR="0069736B" w:rsidRPr="005E4E0E" w:rsidTr="00922DF4">
        <w:trPr>
          <w:jc w:val="center"/>
        </w:trPr>
        <w:tc>
          <w:tcPr>
            <w:tcW w:w="1334" w:type="pct"/>
            <w:vAlign w:val="center"/>
          </w:tcPr>
          <w:p w:rsidR="0069736B" w:rsidRPr="005E4E0E" w:rsidRDefault="005E4E0E" w:rsidP="004638DE">
            <w:pPr>
              <w:ind w:firstLine="0"/>
              <w:rPr>
                <w:sz w:val="16"/>
                <w:szCs w:val="16"/>
              </w:rPr>
            </w:pPr>
            <w:r>
              <w:rPr>
                <w:sz w:val="16"/>
                <w:szCs w:val="16"/>
              </w:rPr>
              <w:t>Text</w:t>
            </w:r>
          </w:p>
        </w:tc>
        <w:tc>
          <w:tcPr>
            <w:tcW w:w="2167" w:type="pct"/>
            <w:vAlign w:val="center"/>
          </w:tcPr>
          <w:p w:rsidR="0069736B" w:rsidRPr="005E4E0E" w:rsidRDefault="0069736B" w:rsidP="00697BCA">
            <w:pPr>
              <w:ind w:firstLine="0"/>
              <w:jc w:val="center"/>
              <w:rPr>
                <w:sz w:val="16"/>
                <w:szCs w:val="16"/>
              </w:rPr>
            </w:pPr>
            <w:r w:rsidRPr="005E4E0E">
              <w:rPr>
                <w:sz w:val="16"/>
                <w:szCs w:val="16"/>
              </w:rPr>
              <w:t>200</w:t>
            </w:r>
          </w:p>
        </w:tc>
        <w:tc>
          <w:tcPr>
            <w:tcW w:w="1499" w:type="pct"/>
            <w:vAlign w:val="center"/>
          </w:tcPr>
          <w:p w:rsidR="0069736B" w:rsidRPr="005E4E0E" w:rsidRDefault="004638DE" w:rsidP="00697BCA">
            <w:pPr>
              <w:ind w:firstLine="0"/>
              <w:jc w:val="right"/>
              <w:rPr>
                <w:sz w:val="16"/>
                <w:szCs w:val="16"/>
              </w:rPr>
            </w:pPr>
            <w:r>
              <w:rPr>
                <w:sz w:val="16"/>
                <w:szCs w:val="16"/>
              </w:rPr>
              <w:t xml:space="preserve"> Text</w:t>
            </w:r>
          </w:p>
        </w:tc>
      </w:tr>
      <w:tr w:rsidR="0069736B" w:rsidRPr="005E4E0E" w:rsidTr="00922DF4">
        <w:trPr>
          <w:jc w:val="center"/>
        </w:trPr>
        <w:tc>
          <w:tcPr>
            <w:tcW w:w="1334" w:type="pct"/>
            <w:tcBorders>
              <w:bottom w:val="single" w:sz="8" w:space="0" w:color="auto"/>
            </w:tcBorders>
            <w:vAlign w:val="center"/>
          </w:tcPr>
          <w:p w:rsidR="0069736B" w:rsidRPr="005E4E0E" w:rsidRDefault="005E4E0E" w:rsidP="004638DE">
            <w:pPr>
              <w:ind w:firstLine="0"/>
              <w:rPr>
                <w:sz w:val="16"/>
                <w:szCs w:val="16"/>
              </w:rPr>
            </w:pPr>
            <w:r>
              <w:rPr>
                <w:sz w:val="16"/>
                <w:szCs w:val="16"/>
              </w:rPr>
              <w:t>Text</w:t>
            </w:r>
          </w:p>
        </w:tc>
        <w:tc>
          <w:tcPr>
            <w:tcW w:w="2167" w:type="pct"/>
            <w:tcBorders>
              <w:bottom w:val="single" w:sz="8" w:space="0" w:color="auto"/>
            </w:tcBorders>
            <w:vAlign w:val="center"/>
          </w:tcPr>
          <w:p w:rsidR="0069736B" w:rsidRPr="005E4E0E" w:rsidRDefault="0069736B" w:rsidP="00697BCA">
            <w:pPr>
              <w:ind w:firstLine="0"/>
              <w:jc w:val="center"/>
              <w:rPr>
                <w:sz w:val="16"/>
                <w:szCs w:val="16"/>
              </w:rPr>
            </w:pPr>
            <w:r w:rsidRPr="005E4E0E">
              <w:rPr>
                <w:sz w:val="16"/>
                <w:szCs w:val="16"/>
              </w:rPr>
              <w:t>300</w:t>
            </w:r>
          </w:p>
        </w:tc>
        <w:tc>
          <w:tcPr>
            <w:tcW w:w="1499" w:type="pct"/>
            <w:tcBorders>
              <w:bottom w:val="single" w:sz="8" w:space="0" w:color="auto"/>
            </w:tcBorders>
            <w:vAlign w:val="center"/>
          </w:tcPr>
          <w:p w:rsidR="0069736B" w:rsidRPr="005E4E0E" w:rsidRDefault="004638DE" w:rsidP="00697BCA">
            <w:pPr>
              <w:ind w:firstLine="0"/>
              <w:jc w:val="right"/>
              <w:rPr>
                <w:sz w:val="16"/>
                <w:szCs w:val="16"/>
              </w:rPr>
            </w:pPr>
            <w:r>
              <w:rPr>
                <w:sz w:val="16"/>
                <w:szCs w:val="16"/>
              </w:rPr>
              <w:t>Text</w:t>
            </w:r>
          </w:p>
        </w:tc>
      </w:tr>
    </w:tbl>
    <w:p w:rsidR="0069736B" w:rsidRDefault="0069736B" w:rsidP="004638DE">
      <w:pPr>
        <w:ind w:firstLine="0"/>
        <w:rPr>
          <w:lang w:eastAsia="en-US"/>
        </w:rPr>
      </w:pPr>
    </w:p>
    <w:p w:rsidR="0069736B" w:rsidRPr="0069736B" w:rsidRDefault="0069736B" w:rsidP="004638DE">
      <w:pPr>
        <w:pStyle w:val="NoindentNormal"/>
        <w:rPr>
          <w:lang w:eastAsia="en-US"/>
        </w:rPr>
      </w:pPr>
      <w:r>
        <w:rPr>
          <w:lang w:eastAsia="en-US"/>
        </w:rPr>
        <w:t>Figures and tables should be centered on the page, except for small figures that can fit side by side inside the type area. One or more images can be placed within a figure. Tables and figures should not have text wrapped alongside.</w:t>
      </w:r>
    </w:p>
    <w:p w:rsidR="007F689F" w:rsidRDefault="007F689F" w:rsidP="004638DE">
      <w:pPr>
        <w:pStyle w:val="NoindentNormal"/>
        <w:rPr>
          <w:lang w:eastAsia="en-US"/>
        </w:rPr>
      </w:pPr>
      <w:r>
        <w:rPr>
          <w:lang w:eastAsia="en-US"/>
        </w:rPr>
        <w:t>The minimum font size for characters in tables is 8 points, and for lettering in other illustrations, 6 points.</w:t>
      </w:r>
      <w:r w:rsidR="00B61A8B">
        <w:rPr>
          <w:lang w:eastAsia="en-US"/>
        </w:rPr>
        <w:t xml:space="preserve">  </w:t>
      </w:r>
      <w:r>
        <w:rPr>
          <w:lang w:eastAsia="en-US"/>
        </w:rPr>
        <w:t>Embed the fonts used if the application provides that option. Ensure consistency by using</w:t>
      </w:r>
      <w:r w:rsidR="00AE1960">
        <w:rPr>
          <w:lang w:eastAsia="en-US"/>
        </w:rPr>
        <w:t xml:space="preserve"> </w:t>
      </w:r>
      <w:r>
        <w:rPr>
          <w:lang w:eastAsia="en-US"/>
        </w:rPr>
        <w:t>similar sizes and fonts for a group of small figures. To add lettering to figures, it is best to use Helvetica or Arial (sans serif fonts) to avoid effects such as shading, outline letters,</w:t>
      </w:r>
      <w:r w:rsidR="00AE1960">
        <w:rPr>
          <w:lang w:eastAsia="en-US"/>
        </w:rPr>
        <w:t xml:space="preserve"> </w:t>
      </w:r>
      <w:r>
        <w:rPr>
          <w:lang w:eastAsia="en-US"/>
        </w:rPr>
        <w:t>etc.</w:t>
      </w:r>
    </w:p>
    <w:p w:rsidR="007F689F" w:rsidRDefault="00B61A8B" w:rsidP="004638DE">
      <w:pPr>
        <w:pStyle w:val="NoindentNormal"/>
        <w:rPr>
          <w:lang w:eastAsia="en-US"/>
        </w:rPr>
      </w:pPr>
      <w:r>
        <w:rPr>
          <w:lang w:eastAsia="en-US"/>
        </w:rPr>
        <w:lastRenderedPageBreak/>
        <w:t xml:space="preserve">Ensure the resolution of illustrations is sufficient </w:t>
      </w:r>
      <w:r w:rsidR="007F689F">
        <w:rPr>
          <w:lang w:eastAsia="en-US"/>
        </w:rPr>
        <w:t xml:space="preserve">for the printed version of the </w:t>
      </w:r>
      <w:r>
        <w:rPr>
          <w:lang w:eastAsia="en-US"/>
        </w:rPr>
        <w:t>manuscript</w:t>
      </w:r>
      <w:r w:rsidR="007F689F">
        <w:rPr>
          <w:lang w:eastAsia="en-US"/>
        </w:rPr>
        <w:t>.</w:t>
      </w:r>
    </w:p>
    <w:p w:rsidR="007F689F" w:rsidRDefault="007F689F" w:rsidP="004638DE">
      <w:pPr>
        <w:pStyle w:val="NoindentNormal"/>
        <w:rPr>
          <w:lang w:eastAsia="en-US"/>
        </w:rPr>
      </w:pPr>
      <w:r>
        <w:rPr>
          <w:lang w:eastAsia="en-US"/>
        </w:rPr>
        <w:t>If you are incorporating screen captures, keep in mind that the text may not be legible after reproduction.</w:t>
      </w:r>
    </w:p>
    <w:p w:rsidR="00ED5A29" w:rsidRDefault="00ED5A29" w:rsidP="004638DE">
      <w:pPr>
        <w:pStyle w:val="Heading1"/>
        <w:jc w:val="both"/>
        <w:rPr>
          <w:szCs w:val="20"/>
          <w:lang w:eastAsia="en-US"/>
        </w:rPr>
      </w:pPr>
      <w:r>
        <w:rPr>
          <w:lang w:eastAsia="en-US"/>
        </w:rPr>
        <w:t>Equations</w:t>
      </w:r>
    </w:p>
    <w:p w:rsidR="00ED5A29" w:rsidRDefault="00ED5A29" w:rsidP="004638DE">
      <w:pPr>
        <w:pStyle w:val="NoindentNormal"/>
        <w:rPr>
          <w:lang w:eastAsia="en-US"/>
        </w:rPr>
      </w:pPr>
      <w:r>
        <w:rPr>
          <w:lang w:eastAsia="en-US"/>
        </w:rPr>
        <w:t>Number equations consecutively, not section-wise. Place the numbers in parentheses at the right-hand margin, level with the last line of the equation. Refer to equations in the text as Eq. (1), Eqs. (3) and (5).</w:t>
      </w:r>
    </w:p>
    <w:p w:rsidR="00B05D6E" w:rsidRDefault="00ED5A29" w:rsidP="004638DE">
      <w:pPr>
        <w:pStyle w:val="Equation"/>
        <w:spacing w:before="480" w:after="480"/>
        <w:jc w:val="both"/>
      </w:pPr>
      <w:r>
        <w:rPr>
          <w:position w:val="-6"/>
        </w:rPr>
        <w:object w:dxaOrig="760" w:dyaOrig="240">
          <v:shape id="_x0000_i1026" type="#_x0000_t75" style="width:37.6pt;height:12.35pt" o:ole="">
            <v:imagedata r:id="rId10" o:title=""/>
          </v:shape>
          <o:OLEObject Type="Embed" ProgID="Equation.DSMT4" ShapeID="_x0000_i1026" DrawAspect="Content" ObjectID="_1747842818" r:id="rId11"/>
        </w:object>
      </w:r>
      <w:r>
        <w:tab/>
      </w:r>
      <w:r w:rsidR="00B05D6E">
        <w:t>(1)</w:t>
      </w:r>
    </w:p>
    <w:p w:rsidR="00ED5A29" w:rsidRDefault="00ED5A29" w:rsidP="004638DE">
      <w:pPr>
        <w:pStyle w:val="Heading1"/>
        <w:jc w:val="both"/>
        <w:rPr>
          <w:szCs w:val="20"/>
          <w:lang w:eastAsia="en-US"/>
        </w:rPr>
      </w:pPr>
      <w:r>
        <w:rPr>
          <w:lang w:eastAsia="en-US"/>
        </w:rPr>
        <w:t>Submitting the Manuscript</w:t>
      </w:r>
    </w:p>
    <w:p w:rsidR="00ED5A29" w:rsidRPr="00ED5A29" w:rsidRDefault="00ED5A29" w:rsidP="004638DE">
      <w:pPr>
        <w:pStyle w:val="NoindentNormal"/>
        <w:rPr>
          <w:lang w:eastAsia="en-US"/>
        </w:rPr>
      </w:pPr>
      <w:r w:rsidRPr="00ED5A29">
        <w:rPr>
          <w:lang w:eastAsia="en-US"/>
        </w:rPr>
        <w:t>Submit the following to the volume editors:</w:t>
      </w:r>
    </w:p>
    <w:p w:rsidR="00D722D4" w:rsidRDefault="00ED5A29" w:rsidP="004638DE">
      <w:pPr>
        <w:pStyle w:val="Listbul"/>
        <w:numPr>
          <w:ilvl w:val="0"/>
          <w:numId w:val="16"/>
        </w:numPr>
        <w:tabs>
          <w:tab w:val="clear" w:pos="717"/>
          <w:tab w:val="num" w:pos="284"/>
        </w:tabs>
        <w:spacing w:before="120"/>
        <w:ind w:left="284" w:hanging="284"/>
        <w:rPr>
          <w:lang w:eastAsia="en-US"/>
        </w:rPr>
      </w:pPr>
      <w:r w:rsidRPr="00ED5A29">
        <w:rPr>
          <w:lang w:eastAsia="en-US"/>
        </w:rPr>
        <w:t>The main source file</w:t>
      </w:r>
      <w:r w:rsidR="004638DE">
        <w:rPr>
          <w:lang w:eastAsia="en-US"/>
        </w:rPr>
        <w:t xml:space="preserve"> (docx)</w:t>
      </w:r>
      <w:r w:rsidRPr="00ED5A29">
        <w:rPr>
          <w:lang w:eastAsia="en-US"/>
        </w:rPr>
        <w:t>, and any other required files. Do not submit more than one version</w:t>
      </w:r>
      <w:r w:rsidR="00651A82">
        <w:rPr>
          <w:lang w:eastAsia="en-US"/>
        </w:rPr>
        <w:t xml:space="preserve"> </w:t>
      </w:r>
      <w:r w:rsidRPr="00ED5A29">
        <w:rPr>
          <w:lang w:eastAsia="en-US"/>
        </w:rPr>
        <w:t xml:space="preserve">of any item. </w:t>
      </w:r>
    </w:p>
    <w:p w:rsidR="00B63C0D" w:rsidRDefault="0028301E" w:rsidP="004638DE">
      <w:pPr>
        <w:pStyle w:val="Listbul"/>
        <w:numPr>
          <w:ilvl w:val="0"/>
          <w:numId w:val="16"/>
        </w:numPr>
        <w:tabs>
          <w:tab w:val="clear" w:pos="717"/>
          <w:tab w:val="num" w:pos="284"/>
        </w:tabs>
        <w:ind w:left="284" w:hanging="284"/>
        <w:rPr>
          <w:lang w:eastAsia="en-US"/>
        </w:rPr>
      </w:pPr>
      <w:r>
        <w:rPr>
          <w:lang w:eastAsia="en-US"/>
        </w:rPr>
        <w:t>A high-</w:t>
      </w:r>
      <w:bookmarkStart w:id="0" w:name="_GoBack"/>
      <w:bookmarkEnd w:id="0"/>
      <w:r w:rsidR="00ED5A29" w:rsidRPr="00ED5A29">
        <w:rPr>
          <w:lang w:eastAsia="en-US"/>
        </w:rPr>
        <w:t>resolution PDF file generated from the source files you submit.</w:t>
      </w:r>
    </w:p>
    <w:p w:rsidR="00B63C0D" w:rsidRDefault="00B63C0D" w:rsidP="004638DE">
      <w:pPr>
        <w:pStyle w:val="Heading1"/>
        <w:jc w:val="both"/>
        <w:rPr>
          <w:szCs w:val="20"/>
          <w:lang w:eastAsia="en-US"/>
        </w:rPr>
      </w:pPr>
      <w:r>
        <w:rPr>
          <w:lang w:eastAsia="en-US"/>
        </w:rPr>
        <w:t>Acknowledgements</w:t>
      </w:r>
    </w:p>
    <w:p w:rsidR="00B63C0D" w:rsidRDefault="00B63C0D" w:rsidP="004638DE">
      <w:pPr>
        <w:pStyle w:val="NoindentNormal"/>
        <w:rPr>
          <w:lang w:eastAsia="en-US"/>
        </w:rPr>
      </w:pPr>
      <w:r>
        <w:rPr>
          <w:lang w:eastAsia="en-US"/>
        </w:rPr>
        <w:t>Identification of funding sources and other support, and thanks to individuals and groups that assisted in the research and the preparation of the work should be included in an acknowledgment section just before the bibliography section in your document.</w:t>
      </w:r>
    </w:p>
    <w:p w:rsidR="00B05D6E" w:rsidRDefault="00B05D6E" w:rsidP="004638DE">
      <w:pPr>
        <w:pStyle w:val="HeadingUnn1"/>
        <w:jc w:val="both"/>
      </w:pPr>
      <w:r>
        <w:t>References</w:t>
      </w:r>
    </w:p>
    <w:p w:rsidR="0072444D" w:rsidRPr="0072444D" w:rsidRDefault="0072444D" w:rsidP="004638DE">
      <w:pPr>
        <w:pStyle w:val="References"/>
        <w:rPr>
          <w:snapToGrid w:val="0"/>
        </w:rPr>
      </w:pPr>
      <w:r w:rsidRPr="0072444D">
        <w:rPr>
          <w:snapToGrid w:val="0"/>
        </w:rPr>
        <w:t>P. S. Abril, R. Plant, The patent holder’s dilemma: Buy, sell, or troll?, Communications</w:t>
      </w:r>
      <w:r>
        <w:rPr>
          <w:snapToGrid w:val="0"/>
        </w:rPr>
        <w:t xml:space="preserve"> </w:t>
      </w:r>
      <w:r w:rsidRPr="0072444D">
        <w:rPr>
          <w:snapToGrid w:val="0"/>
        </w:rPr>
        <w:t>of the ACM 50 (1) (2007)</w:t>
      </w:r>
      <w:r w:rsidR="006407AB">
        <w:rPr>
          <w:snapToGrid w:val="0"/>
        </w:rPr>
        <w:t xml:space="preserve"> 36–44</w:t>
      </w:r>
      <w:r w:rsidRPr="0072444D">
        <w:rPr>
          <w:snapToGrid w:val="0"/>
        </w:rPr>
        <w:t>.</w:t>
      </w:r>
    </w:p>
    <w:p w:rsidR="0072444D" w:rsidRPr="0072444D" w:rsidRDefault="0072444D" w:rsidP="004638DE">
      <w:pPr>
        <w:pStyle w:val="References"/>
        <w:rPr>
          <w:snapToGrid w:val="0"/>
        </w:rPr>
      </w:pPr>
      <w:r w:rsidRPr="0072444D">
        <w:rPr>
          <w:snapToGrid w:val="0"/>
        </w:rPr>
        <w:t>S. Cohen, W. Nutt, Y. Sagic, Deciding equivalan</w:t>
      </w:r>
      <w:r>
        <w:rPr>
          <w:snapToGrid w:val="0"/>
        </w:rPr>
        <w:t xml:space="preserve">ces among conjunctive aggregate </w:t>
      </w:r>
      <w:r w:rsidR="006407AB">
        <w:rPr>
          <w:snapToGrid w:val="0"/>
        </w:rPr>
        <w:t>queries, J. ACM 54 (2)</w:t>
      </w:r>
      <w:r w:rsidRPr="0072444D">
        <w:rPr>
          <w:snapToGrid w:val="0"/>
        </w:rPr>
        <w:t>.</w:t>
      </w:r>
    </w:p>
    <w:p w:rsidR="0072444D" w:rsidRPr="0072444D" w:rsidRDefault="0072444D" w:rsidP="004638DE">
      <w:pPr>
        <w:pStyle w:val="References"/>
        <w:rPr>
          <w:snapToGrid w:val="0"/>
        </w:rPr>
      </w:pPr>
      <w:r w:rsidRPr="0072444D">
        <w:rPr>
          <w:snapToGrid w:val="0"/>
        </w:rPr>
        <w:t>J. Cohen (Ed.), Special issue: Digital Libraries, vol. 39, 1996.</w:t>
      </w:r>
    </w:p>
    <w:p w:rsidR="0072444D" w:rsidRPr="0072444D" w:rsidRDefault="0072444D" w:rsidP="004638DE">
      <w:pPr>
        <w:pStyle w:val="References"/>
        <w:rPr>
          <w:snapToGrid w:val="0"/>
        </w:rPr>
      </w:pPr>
      <w:r w:rsidRPr="0072444D">
        <w:rPr>
          <w:snapToGrid w:val="0"/>
        </w:rPr>
        <w:t>D. Kosiur, Understanding Policy-Based Networking, Wiley, New Yor</w:t>
      </w:r>
      <w:r>
        <w:rPr>
          <w:snapToGrid w:val="0"/>
        </w:rPr>
        <w:t xml:space="preserve">k, NY, 2nd. </w:t>
      </w:r>
      <w:r w:rsidRPr="0072444D">
        <w:rPr>
          <w:snapToGrid w:val="0"/>
        </w:rPr>
        <w:t>edn., 2001.</w:t>
      </w:r>
    </w:p>
    <w:p w:rsidR="0072444D" w:rsidRPr="0072444D" w:rsidRDefault="0072444D" w:rsidP="004638DE">
      <w:pPr>
        <w:pStyle w:val="References"/>
        <w:rPr>
          <w:snapToGrid w:val="0"/>
        </w:rPr>
      </w:pPr>
      <w:r w:rsidRPr="0072444D">
        <w:rPr>
          <w:snapToGrid w:val="0"/>
        </w:rPr>
        <w:t>D. Harel, First-Order Dynamic Logic, vol. 68 of Lec</w:t>
      </w:r>
      <w:r>
        <w:rPr>
          <w:snapToGrid w:val="0"/>
        </w:rPr>
        <w:t xml:space="preserve">ture Notes in Computer Science, </w:t>
      </w:r>
      <w:r w:rsidR="006407AB">
        <w:rPr>
          <w:snapToGrid w:val="0"/>
        </w:rPr>
        <w:t>Springer-Verlag, New York, NY,</w:t>
      </w:r>
      <w:r w:rsidRPr="0072444D">
        <w:rPr>
          <w:snapToGrid w:val="0"/>
        </w:rPr>
        <w:t xml:space="preserve"> 1979.</w:t>
      </w:r>
    </w:p>
    <w:p w:rsidR="00631672" w:rsidRDefault="0072444D" w:rsidP="004638DE">
      <w:pPr>
        <w:pStyle w:val="References"/>
        <w:ind w:left="284" w:hanging="284"/>
        <w:rPr>
          <w:snapToGrid w:val="0"/>
        </w:rPr>
      </w:pPr>
      <w:r w:rsidRPr="0072444D">
        <w:rPr>
          <w:snapToGrid w:val="0"/>
        </w:rPr>
        <w:t>I. Editor (Ed.), The title of book one, vol. 9 of The nam</w:t>
      </w:r>
      <w:r>
        <w:rPr>
          <w:snapToGrid w:val="0"/>
        </w:rPr>
        <w:t xml:space="preserve">e of the series one, University </w:t>
      </w:r>
      <w:r w:rsidRPr="0072444D">
        <w:rPr>
          <w:snapToGrid w:val="0"/>
        </w:rPr>
        <w:t>of Chicago Pr</w:t>
      </w:r>
      <w:r w:rsidR="006407AB">
        <w:rPr>
          <w:snapToGrid w:val="0"/>
        </w:rPr>
        <w:t>ess, Chicago, 1st. edn.</w:t>
      </w:r>
      <w:r w:rsidRPr="0072444D">
        <w:rPr>
          <w:snapToGrid w:val="0"/>
        </w:rPr>
        <w:t>, 2007.</w:t>
      </w:r>
    </w:p>
    <w:p w:rsidR="00514948" w:rsidRPr="00514948" w:rsidRDefault="00514948" w:rsidP="004638DE">
      <w:pPr>
        <w:pStyle w:val="References"/>
        <w:ind w:left="284" w:hanging="284"/>
        <w:rPr>
          <w:snapToGrid w:val="0"/>
        </w:rPr>
      </w:pPr>
      <w:r w:rsidRPr="00514948">
        <w:rPr>
          <w:snapToGrid w:val="0"/>
        </w:rPr>
        <w:t xml:space="preserve">A. Z. Spector, Achieving application requirements, in: S. Mullender </w:t>
      </w:r>
      <w:r>
        <w:rPr>
          <w:snapToGrid w:val="0"/>
        </w:rPr>
        <w:t xml:space="preserve">(Ed.), Distributed Systems, ACM </w:t>
      </w:r>
      <w:r w:rsidRPr="00514948">
        <w:rPr>
          <w:snapToGrid w:val="0"/>
        </w:rPr>
        <w:t>Press, Ne</w:t>
      </w:r>
      <w:r>
        <w:rPr>
          <w:snapToGrid w:val="0"/>
        </w:rPr>
        <w:t xml:space="preserve">w York, NY, 2nd. edn., 19–33, </w:t>
      </w:r>
      <w:r w:rsidRPr="00514948">
        <w:rPr>
          <w:snapToGrid w:val="0"/>
        </w:rPr>
        <w:t>1990.</w:t>
      </w:r>
    </w:p>
    <w:p w:rsidR="00514948" w:rsidRPr="00514948" w:rsidRDefault="00514948" w:rsidP="004638DE">
      <w:pPr>
        <w:pStyle w:val="References"/>
        <w:ind w:left="284" w:hanging="284"/>
        <w:rPr>
          <w:snapToGrid w:val="0"/>
        </w:rPr>
      </w:pPr>
      <w:r w:rsidRPr="00514948">
        <w:rPr>
          <w:snapToGrid w:val="0"/>
        </w:rPr>
        <w:t>B. P. Douglass, D. Harel, M. B. Trakhtenbrot, Statecarts in use: structured analysis and object-orien</w:t>
      </w:r>
      <w:r>
        <w:rPr>
          <w:snapToGrid w:val="0"/>
        </w:rPr>
        <w:t xml:space="preserve">tation, </w:t>
      </w:r>
      <w:r w:rsidRPr="00514948">
        <w:rPr>
          <w:snapToGrid w:val="0"/>
        </w:rPr>
        <w:t>in: G. Rozenberg, F. W. Vaandrager (Eds.), Lectures on Embedded Systems</w:t>
      </w:r>
      <w:r>
        <w:rPr>
          <w:snapToGrid w:val="0"/>
        </w:rPr>
        <w:t xml:space="preserve">, vol. 1494 of Lecture Notes in </w:t>
      </w:r>
      <w:r w:rsidRPr="00514948">
        <w:rPr>
          <w:snapToGrid w:val="0"/>
        </w:rPr>
        <w:t>Computer Science, Spri</w:t>
      </w:r>
      <w:r>
        <w:rPr>
          <w:snapToGrid w:val="0"/>
        </w:rPr>
        <w:t xml:space="preserve">nger-Verlag, London, 368–394, </w:t>
      </w:r>
      <w:r w:rsidRPr="00514948">
        <w:rPr>
          <w:snapToGrid w:val="0"/>
        </w:rPr>
        <w:t>1998.</w:t>
      </w:r>
    </w:p>
    <w:p w:rsidR="00514948" w:rsidRPr="0048624B" w:rsidRDefault="00514948" w:rsidP="004638DE">
      <w:pPr>
        <w:pStyle w:val="References"/>
        <w:ind w:left="284" w:hanging="284"/>
        <w:rPr>
          <w:snapToGrid w:val="0"/>
        </w:rPr>
      </w:pPr>
      <w:r w:rsidRPr="00514948">
        <w:rPr>
          <w:snapToGrid w:val="0"/>
        </w:rPr>
        <w:t>D. E. Knuth, The Art of Computer Programming, Vol. 1: Fundamental Algorithms (3r</w:t>
      </w:r>
      <w:r w:rsidR="0048624B">
        <w:rPr>
          <w:snapToGrid w:val="0"/>
        </w:rPr>
        <w:t xml:space="preserve">d. ed.), Addison </w:t>
      </w:r>
      <w:r w:rsidRPr="0048624B">
        <w:rPr>
          <w:snapToGrid w:val="0"/>
        </w:rPr>
        <w:t>Wesley Longman Publishing Co., Inc., 1997.</w:t>
      </w:r>
    </w:p>
    <w:p w:rsidR="00514948" w:rsidRPr="00514948" w:rsidRDefault="00514948" w:rsidP="004638DE">
      <w:pPr>
        <w:pStyle w:val="References"/>
        <w:ind w:left="284" w:hanging="284"/>
        <w:rPr>
          <w:snapToGrid w:val="0"/>
        </w:rPr>
      </w:pPr>
      <w:r w:rsidRPr="00514948">
        <w:rPr>
          <w:snapToGrid w:val="0"/>
        </w:rPr>
        <w:t>S. Andler, Predicate Path expressions, in: Proceedings of the 6th. ACM SIGACT-SIGPLAN symposium</w:t>
      </w:r>
    </w:p>
    <w:p w:rsidR="00514948" w:rsidRPr="00514948" w:rsidRDefault="00514948" w:rsidP="004638DE">
      <w:pPr>
        <w:pStyle w:val="References"/>
        <w:numPr>
          <w:ilvl w:val="0"/>
          <w:numId w:val="0"/>
        </w:numPr>
        <w:ind w:left="284"/>
        <w:rPr>
          <w:snapToGrid w:val="0"/>
        </w:rPr>
      </w:pPr>
      <w:r w:rsidRPr="00514948">
        <w:rPr>
          <w:snapToGrid w:val="0"/>
        </w:rPr>
        <w:t>on Principles of Programming Languages, POPL ’79, ACM Press, New York, NY, 226–236, , 1979.</w:t>
      </w:r>
    </w:p>
    <w:p w:rsidR="00514948" w:rsidRPr="00514948" w:rsidRDefault="00514948" w:rsidP="004638DE">
      <w:pPr>
        <w:pStyle w:val="References"/>
        <w:ind w:left="284" w:hanging="284"/>
        <w:rPr>
          <w:snapToGrid w:val="0"/>
        </w:rPr>
      </w:pPr>
      <w:r w:rsidRPr="00514948">
        <w:rPr>
          <w:snapToGrid w:val="0"/>
        </w:rPr>
        <w:t>S.W. Smith, An experiment in bibliographic mark-up: Parsing metadata for XML export, in: R. N. Smythe,</w:t>
      </w:r>
    </w:p>
    <w:p w:rsidR="00514948" w:rsidRPr="00514948" w:rsidRDefault="00514948" w:rsidP="004638DE">
      <w:pPr>
        <w:pStyle w:val="References"/>
        <w:numPr>
          <w:ilvl w:val="0"/>
          <w:numId w:val="0"/>
        </w:numPr>
        <w:ind w:left="284"/>
        <w:rPr>
          <w:snapToGrid w:val="0"/>
        </w:rPr>
      </w:pPr>
      <w:r w:rsidRPr="00514948">
        <w:rPr>
          <w:snapToGrid w:val="0"/>
        </w:rPr>
        <w:t>A. Noble (Eds.), Proceedings of the 3rd. annual workshop on Librarians and Computers, vol. 3 of LAC ’10,</w:t>
      </w:r>
    </w:p>
    <w:p w:rsidR="00514948" w:rsidRPr="00514948" w:rsidRDefault="00514948" w:rsidP="004638DE">
      <w:pPr>
        <w:pStyle w:val="References"/>
        <w:numPr>
          <w:ilvl w:val="0"/>
          <w:numId w:val="0"/>
        </w:numPr>
        <w:ind w:left="284"/>
        <w:rPr>
          <w:snapToGrid w:val="0"/>
        </w:rPr>
      </w:pPr>
      <w:r w:rsidRPr="00514948">
        <w:rPr>
          <w:snapToGrid w:val="0"/>
        </w:rPr>
        <w:t>Paparazzi</w:t>
      </w:r>
      <w:r>
        <w:rPr>
          <w:snapToGrid w:val="0"/>
        </w:rPr>
        <w:t xml:space="preserve"> Press, Milan Italy, 422–431, </w:t>
      </w:r>
      <w:r w:rsidRPr="00514948">
        <w:rPr>
          <w:snapToGrid w:val="0"/>
        </w:rPr>
        <w:t>2010.</w:t>
      </w:r>
    </w:p>
    <w:p w:rsidR="00514948" w:rsidRPr="00514948" w:rsidRDefault="00514948" w:rsidP="004638DE">
      <w:pPr>
        <w:pStyle w:val="References"/>
        <w:ind w:left="284" w:hanging="284"/>
        <w:rPr>
          <w:snapToGrid w:val="0"/>
        </w:rPr>
      </w:pPr>
      <w:r w:rsidRPr="00514948">
        <w:rPr>
          <w:snapToGrid w:val="0"/>
        </w:rPr>
        <w:t>M. V. Gundy, D. Balzarotti, G. Vigna, Catch me, if you can: Evading network signatures with web-based</w:t>
      </w:r>
    </w:p>
    <w:p w:rsidR="00514948" w:rsidRPr="00514948" w:rsidRDefault="00514948" w:rsidP="004638DE">
      <w:pPr>
        <w:pStyle w:val="References"/>
        <w:numPr>
          <w:ilvl w:val="0"/>
          <w:numId w:val="0"/>
        </w:numPr>
        <w:ind w:left="284"/>
        <w:rPr>
          <w:snapToGrid w:val="0"/>
        </w:rPr>
      </w:pPr>
      <w:r w:rsidRPr="00514948">
        <w:rPr>
          <w:snapToGrid w:val="0"/>
        </w:rPr>
        <w:t>polymorphic worms, in: Proceedings of the first USENIX workshop on Offensive Technologies, WOOT</w:t>
      </w:r>
    </w:p>
    <w:p w:rsidR="00514948" w:rsidRPr="00514948" w:rsidRDefault="00514948" w:rsidP="004638DE">
      <w:pPr>
        <w:pStyle w:val="References"/>
        <w:numPr>
          <w:ilvl w:val="0"/>
          <w:numId w:val="0"/>
        </w:numPr>
        <w:ind w:left="284"/>
        <w:rPr>
          <w:snapToGrid w:val="0"/>
        </w:rPr>
      </w:pPr>
      <w:r w:rsidRPr="00514948">
        <w:rPr>
          <w:snapToGrid w:val="0"/>
        </w:rPr>
        <w:t>’07, USENIX Association, Berkley, CA, 2007.</w:t>
      </w:r>
    </w:p>
    <w:p w:rsidR="00514948" w:rsidRPr="00514948" w:rsidRDefault="00514948" w:rsidP="004638DE">
      <w:pPr>
        <w:pStyle w:val="References"/>
        <w:ind w:left="284" w:hanging="284"/>
        <w:rPr>
          <w:snapToGrid w:val="0"/>
        </w:rPr>
      </w:pPr>
      <w:r w:rsidRPr="00514948">
        <w:rPr>
          <w:snapToGrid w:val="0"/>
        </w:rPr>
        <w:t>D. Harel, LOGICS of Programs: AXIOMATICS and DESCRIPTIVE POWER, MIT Research Lab</w:t>
      </w:r>
    </w:p>
    <w:p w:rsidR="00514948" w:rsidRPr="00514948" w:rsidRDefault="00514948" w:rsidP="004638DE">
      <w:pPr>
        <w:pStyle w:val="References"/>
        <w:numPr>
          <w:ilvl w:val="0"/>
          <w:numId w:val="0"/>
        </w:numPr>
        <w:ind w:left="284"/>
        <w:rPr>
          <w:snapToGrid w:val="0"/>
        </w:rPr>
      </w:pPr>
      <w:r w:rsidRPr="00514948">
        <w:rPr>
          <w:snapToGrid w:val="0"/>
        </w:rPr>
        <w:t>Technical Report TR-200, Massachusetts Institute of Technology, Cambridge, MA, 1978.</w:t>
      </w:r>
    </w:p>
    <w:p w:rsidR="00514948" w:rsidRPr="00514948" w:rsidRDefault="00514948" w:rsidP="004638DE">
      <w:pPr>
        <w:pStyle w:val="References"/>
        <w:ind w:left="284" w:hanging="284"/>
        <w:rPr>
          <w:snapToGrid w:val="0"/>
        </w:rPr>
      </w:pPr>
      <w:r w:rsidRPr="00514948">
        <w:rPr>
          <w:snapToGrid w:val="0"/>
        </w:rPr>
        <w:t>K. L. Clarkson, Algorithms for Closest-Point Problems (Computational Geometry), Ph.D. thesis, Stanford</w:t>
      </w:r>
    </w:p>
    <w:p w:rsidR="00514948" w:rsidRPr="00514948" w:rsidRDefault="00514948" w:rsidP="004638DE">
      <w:pPr>
        <w:pStyle w:val="References"/>
        <w:numPr>
          <w:ilvl w:val="0"/>
          <w:numId w:val="0"/>
        </w:numPr>
        <w:ind w:left="284"/>
        <w:rPr>
          <w:snapToGrid w:val="0"/>
        </w:rPr>
      </w:pPr>
      <w:r w:rsidRPr="00514948">
        <w:rPr>
          <w:snapToGrid w:val="0"/>
        </w:rPr>
        <w:t>University, Palo Alto, CA, uMI Order Number: AAT 8506171, 1985.</w:t>
      </w:r>
    </w:p>
    <w:p w:rsidR="00514948" w:rsidRPr="00514948" w:rsidRDefault="00514948" w:rsidP="004638DE">
      <w:pPr>
        <w:pStyle w:val="References"/>
        <w:ind w:left="284" w:hanging="284"/>
        <w:rPr>
          <w:snapToGrid w:val="0"/>
        </w:rPr>
      </w:pPr>
      <w:r w:rsidRPr="00514948">
        <w:rPr>
          <w:snapToGrid w:val="0"/>
        </w:rPr>
        <w:t>D. A. Anisi, Optimal Motion Control of a Ground Vehicle, Master’s thesis, Royal Institute of Technology</w:t>
      </w:r>
    </w:p>
    <w:p w:rsidR="00514948" w:rsidRPr="00514948" w:rsidRDefault="00514948" w:rsidP="004638DE">
      <w:pPr>
        <w:pStyle w:val="References"/>
        <w:numPr>
          <w:ilvl w:val="0"/>
          <w:numId w:val="0"/>
        </w:numPr>
        <w:ind w:left="284"/>
        <w:rPr>
          <w:snapToGrid w:val="0"/>
        </w:rPr>
      </w:pPr>
      <w:r w:rsidRPr="00514948">
        <w:rPr>
          <w:snapToGrid w:val="0"/>
        </w:rPr>
        <w:t>(KTH), Stockholm, Sweden, 2003.</w:t>
      </w:r>
    </w:p>
    <w:p w:rsidR="00514948" w:rsidRPr="0048624B" w:rsidRDefault="00514948" w:rsidP="004638DE">
      <w:pPr>
        <w:pStyle w:val="References"/>
        <w:ind w:left="284" w:hanging="284"/>
        <w:rPr>
          <w:snapToGrid w:val="0"/>
        </w:rPr>
      </w:pPr>
      <w:r w:rsidRPr="00514948">
        <w:rPr>
          <w:snapToGrid w:val="0"/>
        </w:rPr>
        <w:lastRenderedPageBreak/>
        <w:t xml:space="preserve">H. Thornburg, Introduction to Bayesian Statistics, URL </w:t>
      </w:r>
      <w:r w:rsidRPr="0048624B">
        <w:rPr>
          <w:rFonts w:ascii="Courier New" w:hAnsi="Courier New" w:cs="Courier New"/>
          <w:snapToGrid w:val="0"/>
        </w:rPr>
        <w:t>http:/</w:t>
      </w:r>
      <w:r w:rsidR="0048624B" w:rsidRPr="0048624B">
        <w:rPr>
          <w:rFonts w:ascii="Courier New" w:hAnsi="Courier New" w:cs="Courier New"/>
          <w:snapToGrid w:val="0"/>
        </w:rPr>
        <w:t>/ccrma.stanford.edu/~jos/bayes/</w:t>
      </w:r>
      <w:r w:rsidRPr="0048624B">
        <w:rPr>
          <w:rFonts w:ascii="Courier New" w:hAnsi="Courier New" w:cs="Courier New"/>
          <w:snapToGrid w:val="0"/>
        </w:rPr>
        <w:t>bayes.html, 2001.</w:t>
      </w:r>
    </w:p>
    <w:p w:rsidR="00514948" w:rsidRPr="00514948" w:rsidRDefault="00514948" w:rsidP="004638DE">
      <w:pPr>
        <w:pStyle w:val="References"/>
        <w:ind w:left="284" w:hanging="284"/>
        <w:rPr>
          <w:snapToGrid w:val="0"/>
        </w:rPr>
      </w:pPr>
      <w:r w:rsidRPr="00514948">
        <w:rPr>
          <w:snapToGrid w:val="0"/>
        </w:rPr>
        <w:t>R. Ablamowicz, B. Fauser, CLIFFORD: a Maple 11 Package for Clifford Algebra Computations, version</w:t>
      </w:r>
    </w:p>
    <w:p w:rsidR="00514948" w:rsidRPr="00514948" w:rsidRDefault="00514948" w:rsidP="004638DE">
      <w:pPr>
        <w:pStyle w:val="References"/>
        <w:numPr>
          <w:ilvl w:val="0"/>
          <w:numId w:val="0"/>
        </w:numPr>
        <w:ind w:left="284"/>
        <w:rPr>
          <w:snapToGrid w:val="0"/>
        </w:rPr>
      </w:pPr>
      <w:r w:rsidRPr="00514948">
        <w:rPr>
          <w:snapToGrid w:val="0"/>
        </w:rPr>
        <w:t xml:space="preserve">11, URL </w:t>
      </w:r>
      <w:r w:rsidRPr="0048624B">
        <w:rPr>
          <w:rFonts w:ascii="Courier New" w:hAnsi="Courier New" w:cs="Courier New"/>
          <w:snapToGrid w:val="0"/>
        </w:rPr>
        <w:t>http://math.tntech.edu/rafal/cliff11/index.html</w:t>
      </w:r>
      <w:r w:rsidRPr="0048624B">
        <w:rPr>
          <w:snapToGrid w:val="0"/>
        </w:rPr>
        <w:t>, 2007</w:t>
      </w:r>
      <w:r w:rsidRPr="00514948">
        <w:rPr>
          <w:snapToGrid w:val="0"/>
        </w:rPr>
        <w:t>.</w:t>
      </w:r>
    </w:p>
    <w:p w:rsidR="00514948" w:rsidRPr="00514948" w:rsidRDefault="00514948" w:rsidP="004638DE">
      <w:pPr>
        <w:pStyle w:val="References"/>
        <w:ind w:left="284" w:hanging="284"/>
        <w:rPr>
          <w:snapToGrid w:val="0"/>
        </w:rPr>
      </w:pPr>
      <w:r w:rsidRPr="00514948">
        <w:rPr>
          <w:snapToGrid w:val="0"/>
        </w:rPr>
        <w:t>Poker-Edge.Com, Stats and Analysis, URL http://www.poker-edge.com/stats.php, 2006.</w:t>
      </w:r>
    </w:p>
    <w:p w:rsidR="00514948" w:rsidRPr="00514948" w:rsidRDefault="00514948" w:rsidP="004638DE">
      <w:pPr>
        <w:pStyle w:val="References"/>
        <w:ind w:left="284" w:hanging="284"/>
        <w:rPr>
          <w:snapToGrid w:val="0"/>
        </w:rPr>
      </w:pPr>
      <w:r w:rsidRPr="00514948">
        <w:rPr>
          <w:snapToGrid w:val="0"/>
        </w:rPr>
        <w:t xml:space="preserve">B. Obama, A more perfect union, Video, URL </w:t>
      </w:r>
      <w:r w:rsidRPr="0048624B">
        <w:rPr>
          <w:snapToGrid w:val="0"/>
        </w:rPr>
        <w:t>http://video.google.com/videoplay?docid= 6528042696351994555, 2008</w:t>
      </w:r>
      <w:r w:rsidRPr="00514948">
        <w:rPr>
          <w:snapToGrid w:val="0"/>
        </w:rPr>
        <w:t>.</w:t>
      </w:r>
    </w:p>
    <w:p w:rsidR="00514948" w:rsidRPr="00514948" w:rsidRDefault="00514948" w:rsidP="004638DE">
      <w:pPr>
        <w:pStyle w:val="References"/>
        <w:ind w:left="284" w:hanging="284"/>
        <w:rPr>
          <w:snapToGrid w:val="0"/>
        </w:rPr>
      </w:pPr>
      <w:r w:rsidRPr="00514948">
        <w:rPr>
          <w:snapToGrid w:val="0"/>
        </w:rPr>
        <w:t xml:space="preserve">D. Novak, Solder man, in: ACM SIGGRAPH 2003 Video Review on </w:t>
      </w:r>
      <w:r>
        <w:rPr>
          <w:snapToGrid w:val="0"/>
        </w:rPr>
        <w:t xml:space="preserve">Animation theater Program: Part </w:t>
      </w:r>
      <w:r w:rsidRPr="00514948">
        <w:rPr>
          <w:snapToGrid w:val="0"/>
        </w:rPr>
        <w:t>I - Vol. 145 (July 27–27, 2003), ACM Press, New York, NY, 4,</w:t>
      </w:r>
      <w:r>
        <w:rPr>
          <w:snapToGrid w:val="0"/>
        </w:rPr>
        <w:t xml:space="preserve"> URL </w:t>
      </w:r>
      <w:hyperlink r:id="rId12" w:history="1">
        <w:r w:rsidRPr="0048624B">
          <w:rPr>
            <w:rFonts w:ascii="Courier New" w:hAnsi="Courier New" w:cs="Courier New"/>
            <w:snapToGrid w:val="0"/>
          </w:rPr>
          <w:t>http://video.google.com/</w:t>
        </w:r>
      </w:hyperlink>
      <w:r w:rsidRPr="0048624B">
        <w:rPr>
          <w:rFonts w:ascii="Courier New" w:hAnsi="Courier New" w:cs="Courier New"/>
          <w:snapToGrid w:val="0"/>
        </w:rPr>
        <w:t xml:space="preserve"> videoplay?docid=6528042696351994555</w:t>
      </w:r>
      <w:r w:rsidRPr="00514948">
        <w:rPr>
          <w:snapToGrid w:val="0"/>
        </w:rPr>
        <w:t>, 2003.</w:t>
      </w:r>
    </w:p>
    <w:p w:rsidR="00514948" w:rsidRPr="00514948" w:rsidRDefault="00514948" w:rsidP="004638DE">
      <w:pPr>
        <w:pStyle w:val="References"/>
        <w:ind w:left="284" w:hanging="284"/>
        <w:rPr>
          <w:snapToGrid w:val="0"/>
        </w:rPr>
      </w:pPr>
      <w:r w:rsidRPr="00514948">
        <w:rPr>
          <w:snapToGrid w:val="0"/>
        </w:rPr>
        <w:t>N. Lee, Interview with Bill Kinder: January 13, 20</w:t>
      </w:r>
      <w:r>
        <w:rPr>
          <w:snapToGrid w:val="0"/>
        </w:rPr>
        <w:t>05, Comput. Enter</w:t>
      </w:r>
      <w:r w:rsidR="0048624B">
        <w:rPr>
          <w:snapToGrid w:val="0"/>
        </w:rPr>
        <w:t>tain. 3(1)</w:t>
      </w:r>
      <w:r>
        <w:rPr>
          <w:snapToGrid w:val="0"/>
        </w:rPr>
        <w:t>4</w:t>
      </w:r>
      <w:r w:rsidRPr="00514948">
        <w:rPr>
          <w:snapToGrid w:val="0"/>
        </w:rPr>
        <w:t>.</w:t>
      </w:r>
    </w:p>
    <w:p w:rsidR="00514948" w:rsidRPr="00514948" w:rsidRDefault="00514948" w:rsidP="004638DE">
      <w:pPr>
        <w:pStyle w:val="References"/>
        <w:ind w:left="284" w:hanging="284"/>
        <w:rPr>
          <w:snapToGrid w:val="0"/>
        </w:rPr>
      </w:pPr>
      <w:r w:rsidRPr="00514948">
        <w:rPr>
          <w:snapToGrid w:val="0"/>
        </w:rPr>
        <w:t>J. Scientist, The fountain of youth, patent No. 12345, Filed July 1st., 2008, Issued Aug. 9th., 2009, 2009.</w:t>
      </w:r>
    </w:p>
    <w:p w:rsidR="00514948" w:rsidRPr="00514948" w:rsidRDefault="00514948" w:rsidP="004638DE">
      <w:pPr>
        <w:pStyle w:val="References"/>
        <w:ind w:left="284" w:hanging="284"/>
        <w:rPr>
          <w:snapToGrid w:val="0"/>
        </w:rPr>
      </w:pPr>
      <w:r w:rsidRPr="00514948">
        <w:rPr>
          <w:snapToGrid w:val="0"/>
        </w:rPr>
        <w:t>B. Rous, The Enabling of Digital Libraries, Digital Libraries 12 (3), to appear.</w:t>
      </w:r>
    </w:p>
    <w:p w:rsidR="00514948" w:rsidRPr="00514948" w:rsidRDefault="00514948" w:rsidP="004638DE">
      <w:pPr>
        <w:pStyle w:val="References"/>
        <w:ind w:left="284" w:hanging="284"/>
        <w:rPr>
          <w:snapToGrid w:val="0"/>
        </w:rPr>
      </w:pPr>
      <w:r w:rsidRPr="00514948">
        <w:rPr>
          <w:snapToGrid w:val="0"/>
        </w:rPr>
        <w:t>M. Saeedi, M. S. Zamani, M. Sedighi, A library-based synthesis methodology for r</w:t>
      </w:r>
      <w:r>
        <w:rPr>
          <w:snapToGrid w:val="0"/>
        </w:rPr>
        <w:t xml:space="preserve">eversible logic, Microelectron. </w:t>
      </w:r>
      <w:r w:rsidRPr="00514948">
        <w:rPr>
          <w:snapToGrid w:val="0"/>
        </w:rPr>
        <w:t>J. 41 (4) (2010) 185–194.</w:t>
      </w:r>
    </w:p>
    <w:p w:rsidR="00514948" w:rsidRPr="0048624B" w:rsidRDefault="00514948" w:rsidP="004638DE">
      <w:pPr>
        <w:pStyle w:val="References"/>
        <w:ind w:left="284" w:hanging="284"/>
        <w:rPr>
          <w:snapToGrid w:val="0"/>
        </w:rPr>
      </w:pPr>
      <w:r w:rsidRPr="00514948">
        <w:rPr>
          <w:snapToGrid w:val="0"/>
        </w:rPr>
        <w:t>M. Saeedi, M. S. Zamani, M. Sedighi, Z. Sasanian, Synthesis of Revers</w:t>
      </w:r>
      <w:r w:rsidR="0048624B">
        <w:rPr>
          <w:snapToGrid w:val="0"/>
        </w:rPr>
        <w:t xml:space="preserve">ible Circuit Using Cycle-Based </w:t>
      </w:r>
      <w:r w:rsidRPr="0048624B">
        <w:rPr>
          <w:snapToGrid w:val="0"/>
        </w:rPr>
        <w:t>Approach, J. Emerg. Technol. Comput. Syst. 6 (4).</w:t>
      </w:r>
    </w:p>
    <w:p w:rsidR="00514948" w:rsidRPr="00FA69D9" w:rsidRDefault="00514948" w:rsidP="004638DE">
      <w:pPr>
        <w:pStyle w:val="References"/>
        <w:ind w:left="284" w:hanging="284"/>
        <w:rPr>
          <w:snapToGrid w:val="0"/>
        </w:rPr>
      </w:pPr>
      <w:r w:rsidRPr="00514948">
        <w:rPr>
          <w:snapToGrid w:val="0"/>
        </w:rPr>
        <w:t>M. Kirschmer, J. Voight, Algorithmic Enumeration of Ideal Classes for Qua</w:t>
      </w:r>
      <w:r w:rsidR="00FA69D9">
        <w:rPr>
          <w:snapToGrid w:val="0"/>
        </w:rPr>
        <w:t xml:space="preserve">ternion Orders, SIAM J. Comput. </w:t>
      </w:r>
      <w:r w:rsidRPr="00FA69D9">
        <w:rPr>
          <w:snapToGrid w:val="0"/>
        </w:rPr>
        <w:t>39 (5) (201</w:t>
      </w:r>
      <w:r w:rsidR="00FA69D9" w:rsidRPr="00FA69D9">
        <w:rPr>
          <w:snapToGrid w:val="0"/>
        </w:rPr>
        <w:t xml:space="preserve">0) 1714–1747, ISSN 0097-5397, </w:t>
      </w:r>
      <w:r w:rsidRPr="00FA69D9">
        <w:rPr>
          <w:snapToGrid w:val="0"/>
        </w:rPr>
        <w:t xml:space="preserve">URL </w:t>
      </w:r>
      <w:r w:rsidRPr="0048624B">
        <w:rPr>
          <w:rFonts w:ascii="Courier New" w:hAnsi="Courier New" w:cs="Courier New"/>
          <w:snapToGrid w:val="0"/>
        </w:rPr>
        <w:t>http://dx.doi.org/10.1137/080734467</w:t>
      </w:r>
      <w:r w:rsidRPr="00FA69D9">
        <w:rPr>
          <w:snapToGrid w:val="0"/>
        </w:rPr>
        <w:t>.</w:t>
      </w:r>
    </w:p>
    <w:p w:rsidR="00514948" w:rsidRPr="00FA69D9" w:rsidRDefault="00FA69D9" w:rsidP="004638DE">
      <w:pPr>
        <w:pStyle w:val="References"/>
        <w:ind w:left="284" w:hanging="284"/>
        <w:rPr>
          <w:snapToGrid w:val="0"/>
        </w:rPr>
      </w:pPr>
      <w:r>
        <w:rPr>
          <w:snapToGrid w:val="0"/>
        </w:rPr>
        <w:t>L. Hö</w:t>
      </w:r>
      <w:r w:rsidR="00514948" w:rsidRPr="00514948">
        <w:rPr>
          <w:snapToGrid w:val="0"/>
        </w:rPr>
        <w:t xml:space="preserve">rmander, The analysis of linear partial differential operators. </w:t>
      </w:r>
      <w:r>
        <w:rPr>
          <w:snapToGrid w:val="0"/>
        </w:rPr>
        <w:t xml:space="preserve">IV, vol. 275 of </w:t>
      </w:r>
      <w:r w:rsidRPr="0048624B">
        <w:rPr>
          <w:i/>
          <w:snapToGrid w:val="0"/>
        </w:rPr>
        <w:t xml:space="preserve">Grundlehren der </w:t>
      </w:r>
      <w:r w:rsidR="00514948" w:rsidRPr="0048624B">
        <w:rPr>
          <w:i/>
          <w:snapToGrid w:val="0"/>
        </w:rPr>
        <w:t>Mathematischen Wissenschaften [Fundamental Principles of Mathematical Sciences]</w:t>
      </w:r>
      <w:r w:rsidR="00514948" w:rsidRPr="00FA69D9">
        <w:rPr>
          <w:snapToGrid w:val="0"/>
        </w:rPr>
        <w:t>, Springer-Verlag,</w:t>
      </w:r>
    </w:p>
    <w:p w:rsidR="00514948" w:rsidRPr="00514948" w:rsidRDefault="00514948" w:rsidP="004638DE">
      <w:pPr>
        <w:pStyle w:val="References"/>
        <w:numPr>
          <w:ilvl w:val="0"/>
          <w:numId w:val="0"/>
        </w:numPr>
        <w:ind w:left="284"/>
        <w:rPr>
          <w:snapToGrid w:val="0"/>
        </w:rPr>
      </w:pPr>
      <w:r w:rsidRPr="00514948">
        <w:rPr>
          <w:snapToGrid w:val="0"/>
        </w:rPr>
        <w:t>Berlin, Germany, ISBN 3-540-13829-3, fourier integral operators, 1985.</w:t>
      </w:r>
    </w:p>
    <w:p w:rsidR="00514948" w:rsidRPr="00514948" w:rsidRDefault="00FA69D9" w:rsidP="004638DE">
      <w:pPr>
        <w:pStyle w:val="References"/>
        <w:ind w:left="284" w:hanging="284"/>
        <w:rPr>
          <w:snapToGrid w:val="0"/>
        </w:rPr>
      </w:pPr>
      <w:r w:rsidRPr="00514948">
        <w:rPr>
          <w:snapToGrid w:val="0"/>
        </w:rPr>
        <w:t xml:space="preserve"> </w:t>
      </w:r>
      <w:r w:rsidR="00514948" w:rsidRPr="00514948">
        <w:rPr>
          <w:snapToGrid w:val="0"/>
        </w:rPr>
        <w:t>I. T. E. Committee, in: Proceedings of the IEEE International Conference on Web Services, ICWS ’04,</w:t>
      </w:r>
    </w:p>
    <w:p w:rsidR="00514948" w:rsidRPr="00514948" w:rsidRDefault="00514948" w:rsidP="004638DE">
      <w:pPr>
        <w:pStyle w:val="References"/>
        <w:numPr>
          <w:ilvl w:val="0"/>
          <w:numId w:val="0"/>
        </w:numPr>
        <w:ind w:left="284"/>
        <w:rPr>
          <w:snapToGrid w:val="0"/>
        </w:rPr>
      </w:pPr>
      <w:r w:rsidRPr="00514948">
        <w:rPr>
          <w:snapToGrid w:val="0"/>
        </w:rPr>
        <w:t>IEEE Computer Society, Washington, DC, US</w:t>
      </w:r>
      <w:r w:rsidR="0048624B">
        <w:rPr>
          <w:snapToGrid w:val="0"/>
        </w:rPr>
        <w:t xml:space="preserve">A, ISBN 0-7695-2167-3, 21–22, </w:t>
      </w:r>
      <w:r w:rsidRPr="00514948">
        <w:rPr>
          <w:snapToGrid w:val="0"/>
        </w:rPr>
        <w:t>2004.</w:t>
      </w:r>
    </w:p>
    <w:p w:rsidR="00D44446" w:rsidRPr="00E446CC" w:rsidRDefault="00514948" w:rsidP="004638DE">
      <w:pPr>
        <w:pStyle w:val="References"/>
        <w:numPr>
          <w:ilvl w:val="0"/>
          <w:numId w:val="0"/>
        </w:numPr>
        <w:ind w:left="284"/>
        <w:rPr>
          <w:snapToGrid w:val="0"/>
        </w:rPr>
      </w:pPr>
      <w:r w:rsidRPr="00E446CC">
        <w:rPr>
          <w:snapToGrid w:val="0"/>
        </w:rPr>
        <w:t xml:space="preserve">TUG, Institutional members of the TEX Users Group, URL </w:t>
      </w:r>
      <w:hyperlink r:id="rId13" w:history="1">
        <w:r w:rsidR="00E446CC" w:rsidRPr="00617001">
          <w:rPr>
            <w:rStyle w:val="Hyperlink"/>
            <w:snapToGrid w:val="0"/>
          </w:rPr>
          <w:t>http://www.tug.org/instmem.html</w:t>
        </w:r>
      </w:hyperlink>
      <w:r w:rsidRPr="00E446CC">
        <w:rPr>
          <w:snapToGrid w:val="0"/>
        </w:rPr>
        <w:t>,</w:t>
      </w:r>
      <w:r w:rsidR="00E446CC">
        <w:rPr>
          <w:snapToGrid w:val="0"/>
        </w:rPr>
        <w:t xml:space="preserve"> </w:t>
      </w:r>
      <w:r w:rsidRPr="00E446CC">
        <w:rPr>
          <w:snapToGrid w:val="0"/>
        </w:rPr>
        <w:t>2017.</w:t>
      </w:r>
    </w:p>
    <w:p w:rsidR="0099452A" w:rsidRPr="00D44446" w:rsidRDefault="00514948" w:rsidP="004638DE">
      <w:pPr>
        <w:pStyle w:val="References"/>
        <w:ind w:left="284" w:hanging="284"/>
        <w:rPr>
          <w:snapToGrid w:val="0"/>
        </w:rPr>
      </w:pPr>
      <w:r w:rsidRPr="00514948">
        <w:rPr>
          <w:snapToGrid w:val="0"/>
        </w:rPr>
        <w:t xml:space="preserve">R Core Team, R: A Language and Environment for Statistical Computing, URL </w:t>
      </w:r>
      <w:r w:rsidR="00D44446" w:rsidRPr="00D44446">
        <w:rPr>
          <w:rFonts w:ascii="Courier New" w:hAnsi="Courier New" w:cs="Courier New"/>
          <w:snapToGrid w:val="0"/>
        </w:rPr>
        <w:t>https://www.</w:t>
      </w:r>
      <w:r w:rsidRPr="00D44446">
        <w:rPr>
          <w:rFonts w:ascii="Courier New" w:hAnsi="Courier New" w:cs="Courier New"/>
          <w:snapToGrid w:val="0"/>
        </w:rPr>
        <w:t>R-project.org/</w:t>
      </w:r>
      <w:r w:rsidRPr="00D44446">
        <w:rPr>
          <w:snapToGrid w:val="0"/>
        </w:rPr>
        <w:t>, 2019.</w:t>
      </w:r>
    </w:p>
    <w:p w:rsidR="00514948" w:rsidRDefault="00514948" w:rsidP="004638DE">
      <w:pPr>
        <w:pStyle w:val="References"/>
        <w:ind w:left="284" w:hanging="284"/>
        <w:rPr>
          <w:snapToGrid w:val="0"/>
        </w:rPr>
      </w:pPr>
      <w:r w:rsidRPr="0099452A">
        <w:rPr>
          <w:snapToGrid w:val="0"/>
        </w:rPr>
        <w:t xml:space="preserve">S. Anzaroot, A. McCallum, UMass Citation Field Extraction Dataset, URL </w:t>
      </w:r>
      <w:r w:rsidRPr="0099452A">
        <w:rPr>
          <w:rFonts w:ascii="Courier New" w:hAnsi="Courier New" w:cs="Courier New"/>
          <w:snapToGrid w:val="0"/>
        </w:rPr>
        <w:t>http://www.iesl.cs.umass.edu/data/data-umasscitationfield</w:t>
      </w:r>
      <w:r w:rsidRPr="0099452A">
        <w:rPr>
          <w:snapToGrid w:val="0"/>
        </w:rPr>
        <w:t>, 2013.</w:t>
      </w:r>
    </w:p>
    <w:p w:rsidR="001A5CF5" w:rsidRDefault="001A5CF5" w:rsidP="004638DE">
      <w:pPr>
        <w:pStyle w:val="References"/>
        <w:numPr>
          <w:ilvl w:val="0"/>
          <w:numId w:val="0"/>
        </w:numPr>
        <w:ind w:left="369" w:hanging="369"/>
        <w:rPr>
          <w:snapToGrid w:val="0"/>
        </w:rPr>
      </w:pPr>
    </w:p>
    <w:p w:rsidR="001A5CF5" w:rsidRDefault="001A5CF5" w:rsidP="004638DE">
      <w:pPr>
        <w:pStyle w:val="HeadingUnn1"/>
        <w:numPr>
          <w:ilvl w:val="0"/>
          <w:numId w:val="38"/>
        </w:numPr>
        <w:ind w:left="284" w:hanging="284"/>
        <w:jc w:val="both"/>
      </w:pPr>
      <w:r>
        <w:t xml:space="preserve">Appendix </w:t>
      </w:r>
    </w:p>
    <w:p w:rsidR="001A5CF5" w:rsidRDefault="001A5CF5" w:rsidP="004638DE">
      <w:pPr>
        <w:pStyle w:val="NoindentNormal"/>
      </w:pPr>
    </w:p>
    <w:p w:rsidR="001A5CF5" w:rsidRPr="001A5CF5" w:rsidRDefault="001A5CF5" w:rsidP="004638DE">
      <w:pPr>
        <w:pStyle w:val="NoindentNormal"/>
        <w:rPr>
          <w:lang w:eastAsia="en-US"/>
        </w:rPr>
      </w:pPr>
      <w:r>
        <w:rPr>
          <w:lang w:eastAsia="en-US"/>
        </w:rPr>
        <w:t>If you have appendixes, they must be included after the reference section.</w:t>
      </w:r>
    </w:p>
    <w:p w:rsidR="001A5CF5" w:rsidRPr="0099452A" w:rsidRDefault="001A5CF5" w:rsidP="004638DE">
      <w:pPr>
        <w:pStyle w:val="References"/>
        <w:numPr>
          <w:ilvl w:val="0"/>
          <w:numId w:val="0"/>
        </w:numPr>
        <w:ind w:left="369" w:hanging="369"/>
        <w:rPr>
          <w:snapToGrid w:val="0"/>
        </w:rPr>
      </w:pPr>
    </w:p>
    <w:sectPr w:rsidR="001A5CF5" w:rsidRPr="0099452A" w:rsidSect="006D3769">
      <w:pgSz w:w="11907" w:h="16840" w:code="9"/>
      <w:pgMar w:top="1871" w:right="2381" w:bottom="1701" w:left="2381"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B67" w:rsidRDefault="00E46B67">
      <w:r>
        <w:separator/>
      </w:r>
    </w:p>
  </w:endnote>
  <w:endnote w:type="continuationSeparator" w:id="0">
    <w:p w:rsidR="00E46B67" w:rsidRDefault="00E4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B67" w:rsidRDefault="00E46B67">
      <w:r>
        <w:separator/>
      </w:r>
    </w:p>
  </w:footnote>
  <w:footnote w:type="continuationSeparator" w:id="0">
    <w:p w:rsidR="00E46B67" w:rsidRDefault="00E46B67">
      <w:r>
        <w:continuationSeparator/>
      </w:r>
    </w:p>
  </w:footnote>
  <w:footnote w:id="1">
    <w:p w:rsidR="00B05D6E" w:rsidRPr="006161C2" w:rsidRDefault="00B05D6E">
      <w:pPr>
        <w:pStyle w:val="FootnoteText"/>
        <w:rPr>
          <w:rStyle w:val="FootnoteChar"/>
          <w:szCs w:val="16"/>
        </w:rPr>
      </w:pPr>
      <w:r>
        <w:rPr>
          <w:rStyle w:val="FootnoteReference"/>
        </w:rPr>
        <w:footnoteRef/>
      </w:r>
      <w:r>
        <w:rPr>
          <w:rStyle w:val="FootnoteChar"/>
        </w:rPr>
        <w:t xml:space="preserve"> Corresponding Author</w:t>
      </w:r>
      <w:r w:rsidR="005C4846">
        <w:rPr>
          <w:rStyle w:val="FootnoteChar"/>
        </w:rPr>
        <w:t xml:space="preserve">: </w:t>
      </w:r>
      <w:r w:rsidR="005C4846">
        <w:rPr>
          <w:rStyle w:val="FootnoteChar"/>
          <w:szCs w:val="16"/>
        </w:rPr>
        <w:t>Author Name</w:t>
      </w:r>
      <w:r w:rsidR="006161C2" w:rsidRPr="006161C2">
        <w:rPr>
          <w:sz w:val="16"/>
          <w:szCs w:val="16"/>
          <w:lang w:val="en-GB"/>
        </w:rPr>
        <w:t xml:space="preserve">, </w:t>
      </w:r>
      <w:r w:rsidR="005C4846">
        <w:rPr>
          <w:sz w:val="16"/>
          <w:szCs w:val="16"/>
          <w:lang w:val="en-GB"/>
        </w:rPr>
        <w:t>Contact details.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6EC8536"/>
    <w:lvl w:ilvl="0">
      <w:start w:val="1"/>
      <w:numFmt w:val="decimal"/>
      <w:pStyle w:val="ListNumber"/>
      <w:lvlText w:val="%1."/>
      <w:lvlJc w:val="left"/>
      <w:pPr>
        <w:tabs>
          <w:tab w:val="num" w:pos="360"/>
        </w:tabs>
        <w:ind w:left="360" w:hanging="360"/>
      </w:pPr>
    </w:lvl>
  </w:abstractNum>
  <w:abstractNum w:abstractNumId="1" w15:restartNumberingAfterBreak="0">
    <w:nsid w:val="10D7493C"/>
    <w:multiLevelType w:val="multilevel"/>
    <w:tmpl w:val="82080512"/>
    <w:lvl w:ilvl="0">
      <w:start w:val="1"/>
      <w:numFmt w:val="decimal"/>
      <w:lvlText w:val="%1."/>
      <w:lvlJc w:val="left"/>
      <w:pPr>
        <w:tabs>
          <w:tab w:val="num" w:pos="717"/>
        </w:tabs>
        <w:ind w:left="717" w:hanging="360"/>
      </w:pPr>
      <w:rPr>
        <w:rFonts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2" w15:restartNumberingAfterBreak="0">
    <w:nsid w:val="2853357A"/>
    <w:multiLevelType w:val="multilevel"/>
    <w:tmpl w:val="FAAA08D2"/>
    <w:lvl w:ilvl="0">
      <w:start w:val="1"/>
      <w:numFmt w:val="decimal"/>
      <w:lvlText w:val="[%1]"/>
      <w:lvlJc w:val="left"/>
      <w:pPr>
        <w:tabs>
          <w:tab w:val="num" w:pos="360"/>
        </w:tabs>
        <w:ind w:left="312" w:hanging="312"/>
      </w:pPr>
      <w:rPr>
        <w:rFonts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A26246B"/>
    <w:multiLevelType w:val="multilevel"/>
    <w:tmpl w:val="82080512"/>
    <w:lvl w:ilvl="0">
      <w:start w:val="1"/>
      <w:numFmt w:val="decimal"/>
      <w:lvlText w:val="%1."/>
      <w:lvlJc w:val="left"/>
      <w:pPr>
        <w:tabs>
          <w:tab w:val="num" w:pos="717"/>
        </w:tabs>
        <w:ind w:left="717" w:hanging="360"/>
      </w:pPr>
      <w:rPr>
        <w:rFonts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4" w15:restartNumberingAfterBreak="0">
    <w:nsid w:val="50BB51F1"/>
    <w:multiLevelType w:val="multilevel"/>
    <w:tmpl w:val="D558440E"/>
    <w:lvl w:ilvl="0">
      <w:start w:val="1"/>
      <w:numFmt w:val="bullet"/>
      <w:pStyle w:val="Listbul"/>
      <w:lvlText w:val=""/>
      <w:lvlJc w:val="left"/>
      <w:pPr>
        <w:tabs>
          <w:tab w:val="num" w:pos="717"/>
        </w:tabs>
        <w:ind w:left="717" w:hanging="360"/>
      </w:pPr>
      <w:rPr>
        <w:rFonts w:ascii="Symbol" w:hAnsi="Symbol"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5" w15:restartNumberingAfterBreak="0">
    <w:nsid w:val="57B032BB"/>
    <w:multiLevelType w:val="multilevel"/>
    <w:tmpl w:val="88DE16C6"/>
    <w:lvl w:ilvl="0">
      <w:start w:val="1"/>
      <w:numFmt w:val="bullet"/>
      <w:pStyle w:val="LISTdash"/>
      <w:lvlText w:val=""/>
      <w:lvlJc w:val="left"/>
      <w:pPr>
        <w:tabs>
          <w:tab w:val="num" w:pos="564"/>
        </w:tabs>
        <w:ind w:left="454" w:hanging="250"/>
      </w:pPr>
      <w:rPr>
        <w:rFonts w:ascii="Symbol" w:hAnsi="Symbol" w:hint="default"/>
        <w:b/>
        <w:i w:val="0"/>
        <w:caps w:val="0"/>
        <w:strike w:val="0"/>
        <w:dstrike w:val="0"/>
        <w:color w:val="00000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14"/>
        </w:tabs>
        <w:ind w:left="794" w:hanging="340"/>
      </w:pPr>
      <w:rPr>
        <w:rFonts w:ascii="Symbol" w:hAnsi="Symbol" w:hint="default"/>
        <w:b w:val="0"/>
        <w:i w:val="0"/>
        <w:sz w:val="20"/>
      </w:rPr>
    </w:lvl>
    <w:lvl w:ilvl="2">
      <w:start w:val="1"/>
      <w:numFmt w:val="bullet"/>
      <w:lvlText w:val=""/>
      <w:lvlJc w:val="left"/>
      <w:pPr>
        <w:tabs>
          <w:tab w:val="num" w:pos="927"/>
        </w:tabs>
        <w:ind w:left="204" w:firstLine="363"/>
      </w:pPr>
      <w:rPr>
        <w:rFonts w:ascii="Symbol" w:hAnsi="Symbol" w:hint="default"/>
        <w:b w:val="0"/>
        <w:i/>
        <w:sz w:val="24"/>
      </w:rPr>
    </w:lvl>
    <w:lvl w:ilvl="3">
      <w:start w:val="1"/>
      <w:numFmt w:val="decimal"/>
      <w:suff w:val="space"/>
      <w:lvlText w:val="%1.%2.%3.%4."/>
      <w:lvlJc w:val="left"/>
      <w:pPr>
        <w:ind w:left="204" w:firstLine="0"/>
      </w:pPr>
      <w:rPr>
        <w:rFonts w:ascii="Times" w:hAnsi="Times" w:hint="default"/>
        <w:b w:val="0"/>
        <w:i/>
        <w:sz w:val="24"/>
      </w:rPr>
    </w:lvl>
    <w:lvl w:ilvl="4">
      <w:start w:val="1"/>
      <w:numFmt w:val="none"/>
      <w:suff w:val="nothing"/>
      <w:lvlText w:val=""/>
      <w:lvlJc w:val="left"/>
      <w:pPr>
        <w:ind w:left="204" w:firstLine="0"/>
      </w:pPr>
      <w:rPr>
        <w:rFonts w:hint="default"/>
      </w:rPr>
    </w:lvl>
    <w:lvl w:ilvl="5">
      <w:start w:val="1"/>
      <w:numFmt w:val="none"/>
      <w:suff w:val="nothing"/>
      <w:lvlText w:val=""/>
      <w:lvlJc w:val="left"/>
      <w:pPr>
        <w:ind w:left="1054" w:firstLine="0"/>
      </w:pPr>
      <w:rPr>
        <w:rFonts w:hint="default"/>
      </w:rPr>
    </w:lvl>
    <w:lvl w:ilvl="6">
      <w:start w:val="1"/>
      <w:numFmt w:val="none"/>
      <w:suff w:val="nothing"/>
      <w:lvlText w:val=""/>
      <w:lvlJc w:val="left"/>
      <w:pPr>
        <w:ind w:left="714" w:firstLine="0"/>
      </w:pPr>
      <w:rPr>
        <w:rFonts w:hint="default"/>
      </w:rPr>
    </w:lvl>
    <w:lvl w:ilvl="7">
      <w:start w:val="1"/>
      <w:numFmt w:val="none"/>
      <w:suff w:val="nothing"/>
      <w:lvlText w:val=""/>
      <w:lvlJc w:val="left"/>
      <w:pPr>
        <w:ind w:left="714" w:firstLine="0"/>
      </w:pPr>
      <w:rPr>
        <w:rFonts w:hint="default"/>
      </w:rPr>
    </w:lvl>
    <w:lvl w:ilvl="8">
      <w:start w:val="1"/>
      <w:numFmt w:val="none"/>
      <w:suff w:val="nothing"/>
      <w:lvlText w:val=""/>
      <w:lvlJc w:val="left"/>
      <w:pPr>
        <w:ind w:left="714" w:firstLine="0"/>
      </w:pPr>
      <w:rPr>
        <w:rFonts w:hint="default"/>
      </w:rPr>
    </w:lvl>
  </w:abstractNum>
  <w:abstractNum w:abstractNumId="6" w15:restartNumberingAfterBreak="0">
    <w:nsid w:val="581D0CC1"/>
    <w:multiLevelType w:val="multilevel"/>
    <w:tmpl w:val="47DE6CBE"/>
    <w:lvl w:ilvl="0">
      <w:start w:val="1"/>
      <w:numFmt w:val="decimal"/>
      <w:lvlText w:val="[%1]"/>
      <w:lvlJc w:val="left"/>
      <w:pPr>
        <w:tabs>
          <w:tab w:val="num" w:pos="360"/>
        </w:tabs>
        <w:ind w:left="312" w:hanging="31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F3D6858"/>
    <w:multiLevelType w:val="multilevel"/>
    <w:tmpl w:val="82080512"/>
    <w:lvl w:ilvl="0">
      <w:start w:val="1"/>
      <w:numFmt w:val="decimal"/>
      <w:lvlText w:val="%1."/>
      <w:lvlJc w:val="left"/>
      <w:pPr>
        <w:tabs>
          <w:tab w:val="num" w:pos="717"/>
        </w:tabs>
        <w:ind w:left="717" w:hanging="360"/>
      </w:pPr>
      <w:rPr>
        <w:rFonts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8" w15:restartNumberingAfterBreak="0">
    <w:nsid w:val="61426C2F"/>
    <w:multiLevelType w:val="hybridMultilevel"/>
    <w:tmpl w:val="2EB08300"/>
    <w:lvl w:ilvl="0" w:tplc="2D9ABB34">
      <w:start w:val="1"/>
      <w:numFmt w:val="lowerLetter"/>
      <w:pStyle w:val="LISTalph"/>
      <w:lvlText w:val="%1)"/>
      <w:lvlJc w:val="left"/>
      <w:pPr>
        <w:tabs>
          <w:tab w:val="num" w:pos="564"/>
        </w:tabs>
        <w:ind w:left="499" w:hanging="295"/>
      </w:pPr>
      <w:rPr>
        <w:rFonts w:hint="default"/>
      </w:rPr>
    </w:lvl>
    <w:lvl w:ilvl="1" w:tplc="04090019">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9" w15:restartNumberingAfterBreak="0">
    <w:nsid w:val="63CA79E0"/>
    <w:multiLevelType w:val="multilevel"/>
    <w:tmpl w:val="F370C5B4"/>
    <w:lvl w:ilvl="0">
      <w:start w:val="1"/>
      <w:numFmt w:val="decimal"/>
      <w:pStyle w:val="LISTnum"/>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0" w15:restartNumberingAfterBreak="0">
    <w:nsid w:val="708B4475"/>
    <w:multiLevelType w:val="hybridMultilevel"/>
    <w:tmpl w:val="8488D7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9D7927"/>
    <w:multiLevelType w:val="multilevel"/>
    <w:tmpl w:val="1F9C18A8"/>
    <w:lvl w:ilvl="0">
      <w:start w:val="1"/>
      <w:numFmt w:val="decimal"/>
      <w:pStyle w:val="Heading1"/>
      <w:suff w:val="space"/>
      <w:lvlText w:val="%1."/>
      <w:lvlJc w:val="left"/>
      <w:pPr>
        <w:ind w:left="454" w:hanging="454"/>
      </w:pPr>
      <w:rPr>
        <w:rFonts w:ascii="Times New Roman" w:hAnsi="Times New Roman" w:hint="default"/>
        <w:b/>
        <w:i w:val="0"/>
        <w:caps w:val="0"/>
        <w:strike w:val="0"/>
        <w:dstrike w:val="0"/>
        <w:color w:val="00000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Times New Roman" w:hAnsi="Times New Roman" w:hint="default"/>
        <w:b w:val="0"/>
        <w:i/>
        <w:sz w:val="20"/>
      </w:rPr>
    </w:lvl>
    <w:lvl w:ilvl="2">
      <w:start w:val="1"/>
      <w:numFmt w:val="decimal"/>
      <w:pStyle w:val="Heading3"/>
      <w:suff w:val="space"/>
      <w:lvlText w:val="%1.%2.%3."/>
      <w:lvlJc w:val="left"/>
      <w:pPr>
        <w:ind w:left="0" w:firstLine="0"/>
      </w:pPr>
      <w:rPr>
        <w:rFonts w:ascii="Times" w:hAnsi="Times" w:hint="default"/>
        <w:b w:val="0"/>
        <w:i/>
        <w:sz w:val="20"/>
      </w:rPr>
    </w:lvl>
    <w:lvl w:ilvl="3">
      <w:start w:val="1"/>
      <w:numFmt w:val="decimal"/>
      <w:pStyle w:val="Heading4"/>
      <w:suff w:val="space"/>
      <w:lvlText w:val="%1.%2.%3.%4."/>
      <w:lvlJc w:val="left"/>
      <w:pPr>
        <w:ind w:left="0" w:firstLine="0"/>
      </w:pPr>
      <w:rPr>
        <w:rFonts w:ascii="Times" w:hAnsi="Times" w:hint="default"/>
        <w:b w:val="0"/>
        <w:i/>
        <w:sz w:val="2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12" w15:restartNumberingAfterBreak="0">
    <w:nsid w:val="76F27992"/>
    <w:multiLevelType w:val="hybridMultilevel"/>
    <w:tmpl w:val="8E28FDE8"/>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0"/>
  </w:num>
  <w:num w:numId="4">
    <w:abstractNumId w:val="11"/>
  </w:num>
  <w:num w:numId="5">
    <w:abstractNumId w:val="4"/>
  </w:num>
  <w:num w:numId="6">
    <w:abstractNumId w:val="9"/>
  </w:num>
  <w:num w:numId="7">
    <w:abstractNumId w:val="12"/>
  </w:num>
  <w:num w:numId="8">
    <w:abstractNumId w:val="6"/>
  </w:num>
  <w:num w:numId="9">
    <w:abstractNumId w:val="12"/>
  </w:num>
  <w:num w:numId="10">
    <w:abstractNumId w:val="2"/>
  </w:num>
  <w:num w:numId="11">
    <w:abstractNumId w:val="12"/>
    <w:lvlOverride w:ilvl="0">
      <w:startOverride w:val="1"/>
    </w:lvlOverride>
  </w:num>
  <w:num w:numId="12">
    <w:abstractNumId w:val="11"/>
  </w:num>
  <w:num w:numId="13">
    <w:abstractNumId w:val="1"/>
  </w:num>
  <w:num w:numId="14">
    <w:abstractNumId w:val="11"/>
  </w:num>
  <w:num w:numId="15">
    <w:abstractNumId w:val="4"/>
  </w:num>
  <w:num w:numId="16">
    <w:abstractNumId w:val="3"/>
  </w:num>
  <w:num w:numId="17">
    <w:abstractNumId w:val="4"/>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7"/>
  </w:num>
  <w:num w:numId="34">
    <w:abstractNumId w:val="12"/>
  </w:num>
  <w:num w:numId="35">
    <w:abstractNumId w:val="12"/>
  </w:num>
  <w:num w:numId="36">
    <w:abstractNumId w:val="12"/>
  </w:num>
  <w:num w:numId="37">
    <w:abstractNumId w:val="12"/>
    <w:lvlOverride w:ilvl="0">
      <w:startOverride w:val="1"/>
    </w:lvlOverride>
  </w:num>
  <w:num w:numId="38">
    <w:abstractNumId w:val="1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62"/>
    <w:rsid w:val="000B7BBB"/>
    <w:rsid w:val="000D3C7D"/>
    <w:rsid w:val="00145B74"/>
    <w:rsid w:val="001900D0"/>
    <w:rsid w:val="00190CC7"/>
    <w:rsid w:val="001A5CF5"/>
    <w:rsid w:val="001E229E"/>
    <w:rsid w:val="001E2AC9"/>
    <w:rsid w:val="00241C34"/>
    <w:rsid w:val="0028301E"/>
    <w:rsid w:val="002C761E"/>
    <w:rsid w:val="0037178C"/>
    <w:rsid w:val="004638DE"/>
    <w:rsid w:val="0048624B"/>
    <w:rsid w:val="004C1739"/>
    <w:rsid w:val="004F38BA"/>
    <w:rsid w:val="00514948"/>
    <w:rsid w:val="00543085"/>
    <w:rsid w:val="00544E80"/>
    <w:rsid w:val="005B7B2D"/>
    <w:rsid w:val="005C4846"/>
    <w:rsid w:val="005E4E0E"/>
    <w:rsid w:val="006161C2"/>
    <w:rsid w:val="00631672"/>
    <w:rsid w:val="006407AB"/>
    <w:rsid w:val="00651A82"/>
    <w:rsid w:val="00652640"/>
    <w:rsid w:val="0069736B"/>
    <w:rsid w:val="00697BCA"/>
    <w:rsid w:val="006D3769"/>
    <w:rsid w:val="0072444D"/>
    <w:rsid w:val="00791773"/>
    <w:rsid w:val="007F689F"/>
    <w:rsid w:val="00847C61"/>
    <w:rsid w:val="0086493B"/>
    <w:rsid w:val="008725E2"/>
    <w:rsid w:val="008C23D3"/>
    <w:rsid w:val="00902F8C"/>
    <w:rsid w:val="0093039E"/>
    <w:rsid w:val="00946ACA"/>
    <w:rsid w:val="00966556"/>
    <w:rsid w:val="0099452A"/>
    <w:rsid w:val="009D4774"/>
    <w:rsid w:val="00A06B0A"/>
    <w:rsid w:val="00A9498E"/>
    <w:rsid w:val="00AA4952"/>
    <w:rsid w:val="00AE0F9E"/>
    <w:rsid w:val="00AE1751"/>
    <w:rsid w:val="00AE1960"/>
    <w:rsid w:val="00AE25BE"/>
    <w:rsid w:val="00AE59D7"/>
    <w:rsid w:val="00B05D6E"/>
    <w:rsid w:val="00B07094"/>
    <w:rsid w:val="00B35D62"/>
    <w:rsid w:val="00B508CC"/>
    <w:rsid w:val="00B61A8B"/>
    <w:rsid w:val="00B62F86"/>
    <w:rsid w:val="00B630FF"/>
    <w:rsid w:val="00B63C0D"/>
    <w:rsid w:val="00B76162"/>
    <w:rsid w:val="00BF1142"/>
    <w:rsid w:val="00C23FE8"/>
    <w:rsid w:val="00C45378"/>
    <w:rsid w:val="00C948CF"/>
    <w:rsid w:val="00C97D11"/>
    <w:rsid w:val="00CE6D95"/>
    <w:rsid w:val="00CF5C91"/>
    <w:rsid w:val="00D44446"/>
    <w:rsid w:val="00D722D4"/>
    <w:rsid w:val="00D75AE8"/>
    <w:rsid w:val="00D82BC9"/>
    <w:rsid w:val="00DE68FF"/>
    <w:rsid w:val="00E14EB4"/>
    <w:rsid w:val="00E32B11"/>
    <w:rsid w:val="00E42C5F"/>
    <w:rsid w:val="00E446CC"/>
    <w:rsid w:val="00E46B67"/>
    <w:rsid w:val="00E51018"/>
    <w:rsid w:val="00E97057"/>
    <w:rsid w:val="00EA32C9"/>
    <w:rsid w:val="00EB59DE"/>
    <w:rsid w:val="00ED5A29"/>
    <w:rsid w:val="00EE559E"/>
    <w:rsid w:val="00F07FC3"/>
    <w:rsid w:val="00F25706"/>
    <w:rsid w:val="00F65CE8"/>
    <w:rsid w:val="00F916A5"/>
    <w:rsid w:val="00F97484"/>
    <w:rsid w:val="00FA69D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A8AAA"/>
  <w15:chartTrackingRefBased/>
  <w15:docId w15:val="{560770D8-FF2F-48D1-A055-0122C130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357"/>
      <w:jc w:val="both"/>
    </w:pPr>
    <w:rPr>
      <w:szCs w:val="24"/>
      <w:lang w:val="en-US" w:eastAsia="ja-JP"/>
    </w:rPr>
  </w:style>
  <w:style w:type="paragraph" w:styleId="Heading1">
    <w:name w:val="heading 1"/>
    <w:basedOn w:val="Normal"/>
    <w:next w:val="NoindentNormal"/>
    <w:link w:val="Heading1Char"/>
    <w:qFormat/>
    <w:pPr>
      <w:keepNext/>
      <w:keepLines/>
      <w:numPr>
        <w:numId w:val="4"/>
      </w:numPr>
      <w:suppressAutoHyphens/>
      <w:spacing w:before="480" w:after="240"/>
      <w:jc w:val="left"/>
      <w:outlineLvl w:val="0"/>
    </w:pPr>
    <w:rPr>
      <w:rFonts w:cs="Arial"/>
      <w:b/>
      <w:bCs/>
      <w:kern w:val="32"/>
      <w:szCs w:val="32"/>
    </w:rPr>
  </w:style>
  <w:style w:type="paragraph" w:styleId="Heading2">
    <w:name w:val="heading 2"/>
    <w:basedOn w:val="Normal"/>
    <w:next w:val="NoindentNormal"/>
    <w:qFormat/>
    <w:pPr>
      <w:keepNext/>
      <w:keepLines/>
      <w:numPr>
        <w:ilvl w:val="1"/>
        <w:numId w:val="4"/>
      </w:numPr>
      <w:suppressAutoHyphens/>
      <w:spacing w:before="240" w:after="240"/>
      <w:jc w:val="left"/>
      <w:outlineLvl w:val="1"/>
    </w:pPr>
    <w:rPr>
      <w:rFonts w:cs="Arial"/>
      <w:bCs/>
      <w:i/>
      <w:iCs/>
      <w:szCs w:val="28"/>
    </w:rPr>
  </w:style>
  <w:style w:type="paragraph" w:styleId="Heading3">
    <w:name w:val="heading 3"/>
    <w:basedOn w:val="Normal"/>
    <w:next w:val="NoindentNormal"/>
    <w:qFormat/>
    <w:pPr>
      <w:keepNext/>
      <w:keepLines/>
      <w:numPr>
        <w:ilvl w:val="2"/>
        <w:numId w:val="4"/>
      </w:numPr>
      <w:suppressAutoHyphens/>
      <w:spacing w:before="240" w:after="120"/>
      <w:jc w:val="left"/>
      <w:outlineLvl w:val="2"/>
    </w:pPr>
    <w:rPr>
      <w:rFonts w:cs="Arial"/>
      <w:bCs/>
      <w:i/>
      <w:szCs w:val="26"/>
    </w:rPr>
  </w:style>
  <w:style w:type="paragraph" w:styleId="Heading4">
    <w:name w:val="heading 4"/>
    <w:basedOn w:val="Normal"/>
    <w:next w:val="NoindentNormal"/>
    <w:qFormat/>
    <w:pPr>
      <w:keepNext/>
      <w:numPr>
        <w:ilvl w:val="3"/>
        <w:numId w:val="4"/>
      </w:numPr>
      <w:suppressAutoHyphens/>
      <w:spacing w:before="120"/>
      <w:jc w:val="left"/>
      <w:outlineLvl w:val="3"/>
    </w:pPr>
    <w:rPr>
      <w:bCs/>
      <w:i/>
      <w:szCs w:val="28"/>
    </w:rPr>
  </w:style>
  <w:style w:type="paragraph" w:styleId="Heading5">
    <w:name w:val="heading 5"/>
    <w:basedOn w:val="Normal"/>
    <w:next w:val="NoindentNormal"/>
    <w:qFormat/>
    <w:pPr>
      <w:numPr>
        <w:ilvl w:val="4"/>
        <w:numId w:val="4"/>
      </w:numPr>
      <w:jc w:val="left"/>
      <w:outlineLvl w:val="4"/>
    </w:pPr>
    <w:rPr>
      <w:bCs/>
      <w:i/>
      <w:iCs/>
      <w:szCs w:val="26"/>
    </w:rPr>
  </w:style>
  <w:style w:type="paragraph" w:styleId="Heading6">
    <w:name w:val="heading 6"/>
    <w:basedOn w:val="Normal"/>
    <w:next w:val="Normal"/>
    <w:qFormat/>
    <w:pPr>
      <w:numPr>
        <w:ilvl w:val="5"/>
        <w:numId w:val="4"/>
      </w:numPr>
      <w:spacing w:before="240"/>
      <w:outlineLvl w:val="5"/>
    </w:pPr>
    <w:rPr>
      <w:bCs/>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Normal">
    <w:name w:val="NoindentNormal"/>
    <w:basedOn w:val="Normal"/>
    <w:next w:val="Normal"/>
    <w:pPr>
      <w:ind w:firstLine="0"/>
    </w:pPr>
  </w:style>
  <w:style w:type="paragraph" w:customStyle="1" w:styleId="Citaat1">
    <w:name w:val="Citaat1"/>
    <w:basedOn w:val="Normal"/>
    <w:pPr>
      <w:ind w:left="204"/>
    </w:pPr>
    <w:rPr>
      <w:sz w:val="18"/>
    </w:rPr>
  </w:style>
  <w:style w:type="paragraph" w:customStyle="1" w:styleId="Abstract">
    <w:name w:val="Abstract"/>
    <w:basedOn w:val="Normal"/>
    <w:pPr>
      <w:adjustRightInd w:val="0"/>
      <w:snapToGrid w:val="0"/>
      <w:spacing w:before="480"/>
      <w:ind w:left="851" w:right="851" w:firstLine="0"/>
    </w:pPr>
    <w:rPr>
      <w:sz w:val="16"/>
    </w:rPr>
  </w:style>
  <w:style w:type="paragraph" w:customStyle="1" w:styleId="Affiliation">
    <w:name w:val="Affiliation"/>
    <w:basedOn w:val="Normal"/>
    <w:pPr>
      <w:ind w:firstLine="0"/>
      <w:jc w:val="center"/>
    </w:pPr>
    <w:rPr>
      <w:i/>
    </w:rPr>
  </w:style>
  <w:style w:type="paragraph" w:customStyle="1" w:styleId="Equation">
    <w:name w:val="Equation"/>
    <w:basedOn w:val="Normal"/>
    <w:pPr>
      <w:tabs>
        <w:tab w:val="left" w:pos="6781"/>
      </w:tabs>
      <w:spacing w:before="240" w:after="240"/>
      <w:ind w:left="454" w:firstLine="0"/>
      <w:jc w:val="left"/>
    </w:pPr>
  </w:style>
  <w:style w:type="paragraph" w:customStyle="1" w:styleId="Footnote">
    <w:name w:val="Footnote"/>
    <w:basedOn w:val="Normal"/>
    <w:pPr>
      <w:ind w:firstLine="136"/>
    </w:pPr>
    <w:rPr>
      <w:sz w:val="16"/>
    </w:rPr>
  </w:style>
  <w:style w:type="paragraph" w:customStyle="1" w:styleId="LISTalph">
    <w:name w:val="LISTalph"/>
    <w:basedOn w:val="Normal"/>
    <w:pPr>
      <w:numPr>
        <w:numId w:val="1"/>
      </w:numPr>
      <w:tabs>
        <w:tab w:val="left" w:pos="499"/>
      </w:tabs>
    </w:pPr>
  </w:style>
  <w:style w:type="paragraph" w:customStyle="1" w:styleId="LISTdash">
    <w:name w:val="LISTdash"/>
    <w:basedOn w:val="Normal"/>
    <w:pPr>
      <w:numPr>
        <w:numId w:val="2"/>
      </w:numPr>
      <w:tabs>
        <w:tab w:val="left" w:pos="454"/>
      </w:tabs>
      <w:adjustRightInd w:val="0"/>
      <w:snapToGrid w:val="0"/>
    </w:pPr>
  </w:style>
  <w:style w:type="paragraph" w:customStyle="1" w:styleId="LISTnum">
    <w:name w:val="LISTnum"/>
    <w:basedOn w:val="Normal"/>
    <w:pPr>
      <w:numPr>
        <w:numId w:val="6"/>
      </w:numPr>
      <w:adjustRightInd w:val="0"/>
      <w:snapToGrid w:val="0"/>
      <w:ind w:left="714" w:hanging="357"/>
    </w:pPr>
  </w:style>
  <w:style w:type="paragraph" w:customStyle="1" w:styleId="References">
    <w:name w:val="References"/>
    <w:basedOn w:val="Normal"/>
    <w:pPr>
      <w:numPr>
        <w:numId w:val="9"/>
      </w:numPr>
      <w:tabs>
        <w:tab w:val="left" w:pos="85"/>
      </w:tabs>
    </w:pPr>
    <w:rPr>
      <w:sz w:val="16"/>
    </w:rPr>
  </w:style>
  <w:style w:type="paragraph" w:customStyle="1" w:styleId="Table">
    <w:name w:val="Table"/>
    <w:basedOn w:val="Normal"/>
    <w:pPr>
      <w:spacing w:before="60" w:after="60"/>
      <w:ind w:firstLine="0"/>
      <w:jc w:val="left"/>
    </w:pPr>
    <w:rPr>
      <w:sz w:val="16"/>
    </w:rPr>
  </w:style>
  <w:style w:type="paragraph" w:styleId="Title">
    <w:name w:val="Title"/>
    <w:basedOn w:val="Normal"/>
    <w:next w:val="Normal"/>
    <w:qFormat/>
    <w:pPr>
      <w:spacing w:before="480" w:after="320"/>
      <w:ind w:firstLine="0"/>
      <w:jc w:val="center"/>
    </w:pPr>
    <w:rPr>
      <w:noProof/>
      <w:kern w:val="28"/>
      <w:sz w:val="40"/>
    </w:rPr>
  </w:style>
  <w:style w:type="paragraph" w:customStyle="1" w:styleId="Author">
    <w:name w:val="Author"/>
    <w:basedOn w:val="Normal"/>
    <w:pPr>
      <w:ind w:firstLine="0"/>
      <w:jc w:val="center"/>
    </w:pPr>
  </w:style>
  <w:style w:type="paragraph" w:styleId="Caption">
    <w:name w:val="caption"/>
    <w:basedOn w:val="Normal"/>
    <w:next w:val="Normal"/>
    <w:qFormat/>
    <w:pPr>
      <w:spacing w:before="80" w:after="80"/>
      <w:ind w:firstLine="0"/>
    </w:pPr>
    <w:rPr>
      <w:sz w:val="16"/>
    </w:rPr>
  </w:style>
  <w:style w:type="paragraph" w:customStyle="1" w:styleId="LISTDescription">
    <w:name w:val="LISTDescription"/>
    <w:basedOn w:val="Normal"/>
    <w:pPr>
      <w:ind w:left="454" w:hanging="454"/>
    </w:pPr>
  </w:style>
  <w:style w:type="paragraph" w:customStyle="1" w:styleId="Notes">
    <w:name w:val="Notes"/>
    <w:basedOn w:val="Normal"/>
    <w:rPr>
      <w:sz w:val="16"/>
    </w:rPr>
  </w:style>
  <w:style w:type="paragraph" w:styleId="BodyText">
    <w:name w:val="Body Text"/>
    <w:basedOn w:val="Normal"/>
    <w:semiHidden/>
    <w:pPr>
      <w:spacing w:after="120"/>
    </w:pPr>
  </w:style>
  <w:style w:type="paragraph" w:customStyle="1" w:styleId="CaptionLong">
    <w:name w:val="CaptionLong"/>
    <w:basedOn w:val="Normal"/>
    <w:pPr>
      <w:spacing w:before="80" w:after="80"/>
      <w:ind w:firstLine="0"/>
    </w:pPr>
    <w:rPr>
      <w:sz w:val="16"/>
    </w:rPr>
  </w:style>
  <w:style w:type="paragraph" w:customStyle="1" w:styleId="HeadingUnn1">
    <w:name w:val="HeadingUnn1"/>
    <w:basedOn w:val="Heading1"/>
    <w:next w:val="NoindentNormal"/>
    <w:pPr>
      <w:numPr>
        <w:numId w:val="0"/>
      </w:numPr>
    </w:pPr>
    <w:rPr>
      <w:bCs w:val="0"/>
    </w:rPr>
  </w:style>
  <w:style w:type="paragraph" w:customStyle="1" w:styleId="HeadingUnn2">
    <w:name w:val="HeadingUnn2"/>
    <w:basedOn w:val="Heading2"/>
    <w:next w:val="NoindentNormal"/>
    <w:pPr>
      <w:numPr>
        <w:ilvl w:val="0"/>
        <w:numId w:val="0"/>
      </w:numPr>
    </w:pPr>
  </w:style>
  <w:style w:type="paragraph" w:customStyle="1" w:styleId="HeadingUnn3">
    <w:name w:val="HeadingUnn3"/>
    <w:basedOn w:val="Heading3"/>
    <w:next w:val="NoindentNormal"/>
    <w:pPr>
      <w:numPr>
        <w:ilvl w:val="0"/>
        <w:numId w:val="0"/>
      </w:numPr>
    </w:pPr>
  </w:style>
  <w:style w:type="paragraph" w:customStyle="1" w:styleId="HeadingUnn4">
    <w:name w:val="HeadingUnn4"/>
    <w:basedOn w:val="Heading4"/>
    <w:next w:val="NoindentNormal"/>
    <w:pPr>
      <w:numPr>
        <w:ilvl w:val="0"/>
        <w:numId w:val="0"/>
      </w:numPr>
    </w:pPr>
  </w:style>
  <w:style w:type="paragraph" w:customStyle="1" w:styleId="HeadingUnn5">
    <w:name w:val="HeadingUnn5"/>
    <w:basedOn w:val="Heading5"/>
    <w:next w:val="Normal"/>
    <w:pPr>
      <w:numPr>
        <w:ilvl w:val="0"/>
        <w:numId w:val="0"/>
      </w:numPr>
      <w:spacing w:before="120"/>
    </w:pPr>
  </w:style>
  <w:style w:type="paragraph" w:styleId="ListNumber">
    <w:name w:val="List Number"/>
    <w:basedOn w:val="Normal"/>
    <w:semiHidden/>
    <w:pPr>
      <w:numPr>
        <w:numId w:val="3"/>
      </w:numPr>
    </w:pPr>
  </w:style>
  <w:style w:type="paragraph" w:customStyle="1" w:styleId="CaptionShort">
    <w:name w:val="CaptionShort"/>
    <w:basedOn w:val="Normal"/>
    <w:pPr>
      <w:spacing w:before="80" w:after="80"/>
      <w:ind w:firstLine="0"/>
      <w:jc w:val="center"/>
    </w:pPr>
    <w:rPr>
      <w:sz w:val="16"/>
    </w:rPr>
  </w:style>
  <w:style w:type="paragraph" w:customStyle="1" w:styleId="Listbul">
    <w:name w:val="Listbul"/>
    <w:basedOn w:val="Normal"/>
    <w:pPr>
      <w:numPr>
        <w:numId w:val="5"/>
      </w:numPr>
    </w:pPr>
  </w:style>
  <w:style w:type="paragraph" w:customStyle="1" w:styleId="Keywords">
    <w:name w:val="Keywords"/>
    <w:basedOn w:val="Abstract"/>
    <w:next w:val="Heading1"/>
    <w:pPr>
      <w:spacing w:before="240" w:after="240"/>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character" w:customStyle="1" w:styleId="FootnoteChar">
    <w:name w:val="Footnote Char"/>
    <w:rPr>
      <w:rFonts w:eastAsia="MS Mincho"/>
      <w:sz w:val="16"/>
      <w:szCs w:val="24"/>
      <w:lang w:val="en-US" w:eastAsia="ja-JP" w:bidi="ar-SA"/>
    </w:rPr>
  </w:style>
  <w:style w:type="character" w:customStyle="1" w:styleId="MTEquationSection">
    <w:name w:val="MTEquationSection"/>
    <w:rPr>
      <w:i/>
      <w:vanish/>
      <w:color w:val="FF0000"/>
    </w:rPr>
  </w:style>
  <w:style w:type="character" w:styleId="Hyperlink">
    <w:name w:val="Hyperlink"/>
    <w:basedOn w:val="DefaultParagraphFont"/>
    <w:uiPriority w:val="99"/>
    <w:unhideWhenUsed/>
    <w:rsid w:val="005C4846"/>
    <w:rPr>
      <w:color w:val="0563C1" w:themeColor="hyperlink"/>
      <w:u w:val="single"/>
    </w:rPr>
  </w:style>
  <w:style w:type="paragraph" w:customStyle="1" w:styleId="ORCiDID">
    <w:name w:val="ORCiD ID"/>
    <w:basedOn w:val="Normal"/>
    <w:qFormat/>
    <w:rsid w:val="00145B74"/>
    <w:pPr>
      <w:autoSpaceDE w:val="0"/>
      <w:autoSpaceDN w:val="0"/>
      <w:adjustRightInd w:val="0"/>
      <w:ind w:firstLine="0"/>
      <w:jc w:val="center"/>
    </w:pPr>
    <w:rPr>
      <w:szCs w:val="20"/>
    </w:rPr>
  </w:style>
  <w:style w:type="character" w:customStyle="1" w:styleId="Heading1Char">
    <w:name w:val="Heading 1 Char"/>
    <w:basedOn w:val="DefaultParagraphFont"/>
    <w:link w:val="Heading1"/>
    <w:rsid w:val="00B07094"/>
    <w:rPr>
      <w:rFonts w:cs="Arial"/>
      <w:b/>
      <w:bCs/>
      <w:kern w:val="32"/>
      <w:szCs w:val="3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http://www.tug.org/instme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ideo.goog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Camossi\Work%20Folders\Projects\2023.OCS\CCSW-template\CC&amp;SW\CCSW-Word-Template.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60B77-BA4D-461A-9CB4-66E27E83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CCSW-Word-Template.dotx</Template>
  <TotalTime>202</TotalTime>
  <Pages>5</Pages>
  <Words>1807</Words>
  <Characters>10300</Characters>
  <Application>Microsoft Office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vt:lpstr>
      <vt:lpstr>1</vt:lpstr>
    </vt:vector>
  </TitlesOfParts>
  <Company>VTEX</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Camossi Elena | CMRE</dc:creator>
  <cp:keywords/>
  <cp:lastModifiedBy>Camossi Elena | CMRE</cp:lastModifiedBy>
  <cp:revision>58</cp:revision>
  <cp:lastPrinted>2008-10-24T08:15:00Z</cp:lastPrinted>
  <dcterms:created xsi:type="dcterms:W3CDTF">2023-06-07T15:18:00Z</dcterms:created>
  <dcterms:modified xsi:type="dcterms:W3CDTF">2023-06-09T17:07:00Z</dcterms:modified>
</cp:coreProperties>
</file>